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898583" w14:textId="26FECFF2" w:rsidR="00B96EB2" w:rsidRPr="00B96EB2" w:rsidRDefault="00B96EB2" w:rsidP="00B96EB2">
      <w:pPr>
        <w:jc w:val="both"/>
        <w:rPr>
          <w:b/>
          <w:bCs/>
          <w:sz w:val="28"/>
          <w:szCs w:val="28"/>
        </w:rPr>
      </w:pPr>
      <w:r w:rsidRPr="00B96EB2">
        <w:rPr>
          <w:b/>
          <w:bCs/>
          <w:sz w:val="28"/>
          <w:szCs w:val="28"/>
        </w:rPr>
        <w:t>Assessment of indoor Air Pollution from Biomass Fuel use and Respiratory Health among Rural Households in Toro Local Government Area, Bauchi State</w:t>
      </w:r>
    </w:p>
    <w:p w14:paraId="187C4943" w14:textId="77777777" w:rsidR="00B96EB2" w:rsidRPr="00B96EB2" w:rsidRDefault="00B96EB2" w:rsidP="00B96EB2">
      <w:pPr>
        <w:jc w:val="both"/>
        <w:rPr>
          <w:b/>
          <w:bCs/>
        </w:rPr>
      </w:pPr>
    </w:p>
    <w:p w14:paraId="42D3EA07" w14:textId="249529DE" w:rsidR="00B96EB2" w:rsidRPr="00B96EB2" w:rsidRDefault="00B96EB2" w:rsidP="00B96EB2">
      <w:pPr>
        <w:jc w:val="both"/>
      </w:pPr>
      <w:r w:rsidRPr="00B96EB2">
        <w:t>Umar Muhammad SALISU</w:t>
      </w:r>
      <w:r w:rsidRPr="00B96EB2">
        <w:rPr>
          <w:vertAlign w:val="superscript"/>
        </w:rPr>
        <w:t>*</w:t>
      </w:r>
    </w:p>
    <w:p w14:paraId="56C5D6B3" w14:textId="77777777" w:rsidR="00B96EB2" w:rsidRPr="00B96EB2" w:rsidRDefault="00B96EB2" w:rsidP="00B96EB2">
      <w:pPr>
        <w:jc w:val="both"/>
      </w:pPr>
    </w:p>
    <w:p w14:paraId="7ECA67CA" w14:textId="0973E2D3" w:rsidR="00B96EB2" w:rsidRDefault="00B96EB2" w:rsidP="00B96EB2">
      <w:pPr>
        <w:jc w:val="both"/>
        <w:rPr>
          <w:rFonts w:ascii="Book Antiqua" w:hAnsi="Book Antiqua"/>
          <w:i/>
          <w:iCs/>
        </w:rPr>
      </w:pPr>
      <w:r w:rsidRPr="00B96EB2">
        <w:rPr>
          <w:i/>
          <w:iCs/>
        </w:rPr>
        <w:t>Department of Sustainable of Environmental Studies, Abubakar Tafawa Balewa University, Bauchi, Nigeria</w:t>
      </w:r>
    </w:p>
    <w:p w14:paraId="371B1585" w14:textId="2DC57171" w:rsidR="00812E5E" w:rsidRDefault="00812E5E" w:rsidP="00812E5E">
      <w:pPr>
        <w:pStyle w:val="Correspondencedetails"/>
        <w:spacing w:before="0" w:line="240" w:lineRule="auto"/>
      </w:pPr>
    </w:p>
    <w:p w14:paraId="1C1EA23D" w14:textId="77777777" w:rsidR="00B96EB2" w:rsidRPr="00D503AE" w:rsidRDefault="00B96EB2" w:rsidP="00B96EB2">
      <w:pPr>
        <w:jc w:val="both"/>
      </w:pPr>
      <w:r w:rsidRPr="001E594C">
        <w:rPr>
          <w:rFonts w:asciiTheme="majorBidi" w:hAnsiTheme="majorBidi" w:cstheme="majorBidi"/>
          <w:vertAlign w:val="superscript"/>
        </w:rPr>
        <w:t>*</w:t>
      </w:r>
      <w:r w:rsidRPr="001E594C">
        <w:rPr>
          <w:rFonts w:asciiTheme="majorBidi" w:hAnsiTheme="majorBidi" w:cstheme="majorBidi"/>
        </w:rPr>
        <w:t xml:space="preserve">Corresponding </w:t>
      </w:r>
      <w:r>
        <w:rPr>
          <w:rFonts w:asciiTheme="majorBidi" w:hAnsiTheme="majorBidi" w:cstheme="majorBidi"/>
        </w:rPr>
        <w:t>a</w:t>
      </w:r>
      <w:r w:rsidRPr="001E594C">
        <w:rPr>
          <w:rFonts w:asciiTheme="majorBidi" w:hAnsiTheme="majorBidi" w:cstheme="majorBidi"/>
        </w:rPr>
        <w:t>uthor:</w:t>
      </w:r>
      <w:r>
        <w:rPr>
          <w:rFonts w:asciiTheme="majorBidi" w:hAnsiTheme="majorBidi" w:cstheme="majorBidi"/>
        </w:rPr>
        <w:t xml:space="preserve"> </w:t>
      </w:r>
      <w:bookmarkStart w:id="0" w:name="_Hlk238999071"/>
      <w:r w:rsidRPr="00D503AE">
        <w:fldChar w:fldCharType="begin"/>
      </w:r>
      <w:r w:rsidRPr="00D503AE">
        <w:instrText xml:space="preserve"> HYPERLINK "mailto:umsalisu.pg@atbu.edu.ng" </w:instrText>
      </w:r>
      <w:r w:rsidRPr="00D503AE">
        <w:fldChar w:fldCharType="separate"/>
      </w:r>
      <w:r w:rsidRPr="00D503AE">
        <w:rPr>
          <w:rStyle w:val="Hyperlink"/>
          <w:color w:val="auto"/>
          <w:u w:val="none"/>
        </w:rPr>
        <w:t>umsalisu.pg@atbu.edu.ng</w:t>
      </w:r>
      <w:r w:rsidRPr="00D503AE">
        <w:rPr>
          <w:rStyle w:val="Hyperlink"/>
          <w:color w:val="auto"/>
          <w:u w:val="none"/>
        </w:rPr>
        <w:fldChar w:fldCharType="end"/>
      </w:r>
    </w:p>
    <w:bookmarkEnd w:id="0"/>
    <w:p w14:paraId="3DA1810C" w14:textId="77777777" w:rsidR="00812E5E" w:rsidRPr="00F67615" w:rsidRDefault="00812E5E" w:rsidP="00812E5E">
      <w:pPr>
        <w:rPr>
          <w:lang w:val="en-GB" w:eastAsia="en-GB"/>
        </w:rPr>
      </w:pPr>
    </w:p>
    <w:p w14:paraId="77E06C58" w14:textId="77777777" w:rsidR="00812E5E" w:rsidRPr="00D83134" w:rsidRDefault="00812E5E" w:rsidP="00812E5E">
      <w:pPr>
        <w:pStyle w:val="Abstract"/>
        <w:spacing w:before="0" w:after="0" w:line="480" w:lineRule="auto"/>
        <w:rPr>
          <w:szCs w:val="22"/>
        </w:rPr>
      </w:pPr>
      <w:r w:rsidRPr="00D83134">
        <w:rPr>
          <w:szCs w:val="22"/>
        </w:rPr>
        <w:t>Abstra</w:t>
      </w:r>
      <w:r>
        <w:rPr>
          <w:szCs w:val="22"/>
        </w:rPr>
        <w:t>ct</w:t>
      </w:r>
    </w:p>
    <w:p w14:paraId="2D2FF5B3" w14:textId="35D4CA16" w:rsidR="00812E5E" w:rsidRDefault="0021271B" w:rsidP="0036420B">
      <w:pPr>
        <w:ind w:left="720"/>
        <w:jc w:val="both"/>
        <w:rPr>
          <w:rFonts w:eastAsia="Book Antiqua"/>
          <w:sz w:val="22"/>
          <w:szCs w:val="22"/>
        </w:rPr>
      </w:pPr>
      <w:r w:rsidRPr="0021271B">
        <w:rPr>
          <w:rFonts w:eastAsia="Book Antiqua"/>
          <w:sz w:val="22"/>
          <w:szCs w:val="22"/>
        </w:rPr>
        <w:t>Indoor air pollution resulting from biomass fuel use remains a major environmental health challenge in rural communities across developing countries, including Nigeria. Continued reliance on firewood, charcoal, crop residues, and animal dung exposes households to harmful pollutants that contribute to respiratory illnesses, particularly among women and children. This study assessed indoor air pollution from biomass fuel use and respiratory health among rural households in Toro Local Government Area, Bauchi State, Nigeria. A quantitative descriptive cross-sectional research design was adopted. A sample of 422 respondents was selected using a multistage sampling technique. Primary data were collected through structured interviewer-administered questionnaires and observational checklists, supplemented by secondary data from relevant literature, government publications, and international reports. Data were analyzed using descriptive statistics, chi-square tests, and binary logistic regression at a 5% significance level. Results indicated that firewood was the primary cooking fuel, with most households cooking in poorly ventilated spaces. Commonly reported symptoms included persistent cough, eye irritation, wheezing, headaches, and shortness of breath. Statistical analysis revealed significant associations between biomass fuel reliance, inadequate ventilation, prolonged cooking duration, and respiratory symptoms. Firewood-dependent households were significantly more likely to report respiratory issues than those using cleaner fuels. The study concludes that reducing reliance on traditional biomass, improving household ventilation, promoting clean cooking technologies, and strengthening environmental health education can mitigate indoor pollution and enhance respiratory health. These findings provide a strategic foundation for policymakers to design interventions for safer household energy use.</w:t>
      </w:r>
    </w:p>
    <w:p w14:paraId="07DC191B" w14:textId="77777777" w:rsidR="0021271B" w:rsidRPr="00221E42" w:rsidRDefault="0021271B" w:rsidP="0036420B">
      <w:pPr>
        <w:ind w:left="720"/>
        <w:jc w:val="both"/>
        <w:rPr>
          <w:rFonts w:eastAsia="Book Antiqua"/>
          <w:sz w:val="22"/>
          <w:szCs w:val="22"/>
        </w:rPr>
      </w:pPr>
    </w:p>
    <w:p w14:paraId="19D7C9AE" w14:textId="77777777" w:rsidR="0036420B" w:rsidRPr="006464E4" w:rsidRDefault="00812E5E" w:rsidP="0036420B">
      <w:pPr>
        <w:ind w:left="720"/>
        <w:jc w:val="both"/>
        <w:rPr>
          <w:rFonts w:eastAsia="Times New Roman"/>
          <w:sz w:val="22"/>
          <w:szCs w:val="22"/>
        </w:rPr>
      </w:pPr>
      <w:r w:rsidRPr="00631BED">
        <w:rPr>
          <w:sz w:val="22"/>
          <w:szCs w:val="22"/>
        </w:rPr>
        <w:t xml:space="preserve">Keywords: </w:t>
      </w:r>
      <w:r w:rsidR="0036420B" w:rsidRPr="006464E4">
        <w:rPr>
          <w:rFonts w:eastAsia="Times New Roman"/>
          <w:sz w:val="22"/>
          <w:szCs w:val="22"/>
        </w:rPr>
        <w:t>Biomass fuel, indoor air pollution, respiratory health, rural households, environmental health.</w:t>
      </w:r>
    </w:p>
    <w:p w14:paraId="4D4F7ACB" w14:textId="77777777" w:rsidR="00733600" w:rsidRDefault="00733600" w:rsidP="0033640B">
      <w:pPr>
        <w:pStyle w:val="Acknowledgements"/>
        <w:spacing w:before="0" w:line="240" w:lineRule="auto"/>
        <w:jc w:val="both"/>
        <w:rPr>
          <w:b/>
          <w:bCs/>
          <w:sz w:val="24"/>
        </w:rPr>
      </w:pPr>
    </w:p>
    <w:p w14:paraId="315ECA4A" w14:textId="69BF7A1D" w:rsidR="0021271B" w:rsidRPr="00E01684" w:rsidRDefault="003E2BCC" w:rsidP="0021271B">
      <w:pPr>
        <w:jc w:val="both"/>
        <w:rPr>
          <w:lang w:val="en-US" w:eastAsia="en-GB"/>
        </w:rPr>
      </w:pPr>
      <w:r w:rsidRPr="003E2BCC">
        <w:rPr>
          <w:rFonts w:eastAsia="Times New Roman"/>
          <w:b/>
          <w:bCs/>
          <w:lang w:eastAsia="en-GB"/>
        </w:rPr>
        <w:t>Acknowledgme</w:t>
      </w:r>
      <w:r w:rsidRPr="00177D6D">
        <w:rPr>
          <w:rFonts w:eastAsia="Times New Roman"/>
          <w:b/>
          <w:bCs/>
          <w:lang w:eastAsia="en-GB"/>
        </w:rPr>
        <w:t xml:space="preserve">nts: </w:t>
      </w:r>
      <w:r w:rsidR="0021271B" w:rsidRPr="0021271B">
        <w:rPr>
          <w:lang w:val="en-US" w:eastAsia="en-GB"/>
        </w:rPr>
        <w:t>The authors would like to express their sincere gratitude to the Department of Environmental Health, the faculty, and the academic staff for their invaluable guidance, administrative support, and insightful feedback throughout this research.</w:t>
      </w:r>
      <w:r w:rsidR="00E01684">
        <w:rPr>
          <w:lang w:val="en-US" w:eastAsia="en-GB"/>
        </w:rPr>
        <w:t xml:space="preserve"> </w:t>
      </w:r>
      <w:r w:rsidR="0021271B" w:rsidRPr="0021271B">
        <w:rPr>
          <w:rFonts w:eastAsia="Times New Roman"/>
          <w:lang w:val="en-US" w:eastAsia="en-GB"/>
        </w:rPr>
        <w:t xml:space="preserve">Special thanks are extended to the local authorities and community leaders of Toro Local Government Area, Bauchi State, Nigeria, for granting permission and facilitating entry into the study communities. We are </w:t>
      </w:r>
      <w:r w:rsidR="0021271B" w:rsidRPr="0021271B">
        <w:rPr>
          <w:rFonts w:eastAsia="Times New Roman"/>
          <w:lang w:val="en-US" w:eastAsia="en-GB"/>
        </w:rPr>
        <w:lastRenderedPageBreak/>
        <w:t>deeply grateful to the household members and respondents who generously devoted their time to participate in the interviews and observational assessments.</w:t>
      </w:r>
    </w:p>
    <w:p w14:paraId="1F978CC0" w14:textId="77777777" w:rsidR="0036420B" w:rsidRPr="0036420B" w:rsidRDefault="0036420B" w:rsidP="003E2BCC">
      <w:pPr>
        <w:jc w:val="both"/>
        <w:rPr>
          <w:lang w:val="en-US" w:eastAsia="en-GB"/>
        </w:rPr>
      </w:pPr>
    </w:p>
    <w:p w14:paraId="79C95428" w14:textId="77777777" w:rsidR="003E2BCC" w:rsidRPr="00177D6D" w:rsidRDefault="003E2BCC" w:rsidP="009625CD">
      <w:pPr>
        <w:rPr>
          <w:b/>
          <w:bCs/>
          <w:lang w:val="en-GB" w:eastAsia="en-GB"/>
        </w:rPr>
      </w:pPr>
      <w:r w:rsidRPr="00177D6D">
        <w:rPr>
          <w:b/>
          <w:bCs/>
          <w:lang w:val="en-GB" w:eastAsia="en-GB"/>
        </w:rPr>
        <w:t xml:space="preserve">For citation: </w:t>
      </w:r>
    </w:p>
    <w:p w14:paraId="62DF6E1C" w14:textId="0787803C" w:rsidR="009625CD" w:rsidRPr="00101F25" w:rsidRDefault="00101F25" w:rsidP="00101F25">
      <w:pPr>
        <w:ind w:left="720" w:hanging="720"/>
        <w:jc w:val="both"/>
      </w:pPr>
      <w:r w:rsidRPr="00101F25">
        <w:t>Salisu</w:t>
      </w:r>
      <w:r w:rsidRPr="00101F25">
        <w:rPr>
          <w:lang w:val="en-US"/>
        </w:rPr>
        <w:t>, U. M</w:t>
      </w:r>
      <w:r w:rsidR="00A00DF8" w:rsidRPr="00101F25">
        <w:rPr>
          <w:rFonts w:eastAsia="Book Antiqua"/>
          <w:lang w:val="en-US"/>
        </w:rPr>
        <w:t xml:space="preserve">. (2026). </w:t>
      </w:r>
      <w:r w:rsidRPr="00101F25">
        <w:t>Assessment of indoor Air Pollution from Biomass Fuel use and Respiratory Health among Rural Households in Toro Local Government Area, Bauchi State</w:t>
      </w:r>
      <w:r w:rsidRPr="00101F25">
        <w:rPr>
          <w:lang w:val="en-US"/>
        </w:rPr>
        <w:t xml:space="preserve">. </w:t>
      </w:r>
      <w:r w:rsidR="003E2BCC" w:rsidRPr="0021271B">
        <w:rPr>
          <w:i/>
          <w:iCs/>
          <w:lang w:val="en-GB" w:eastAsia="en-GB"/>
        </w:rPr>
        <w:t>Radinka Journal of Health Science</w:t>
      </w:r>
      <w:r w:rsidR="003E2BCC" w:rsidRPr="00101F25">
        <w:rPr>
          <w:lang w:val="en-GB" w:eastAsia="en-GB"/>
        </w:rPr>
        <w:t>,</w:t>
      </w:r>
      <w:r w:rsidR="0021271B">
        <w:rPr>
          <w:lang w:val="en-GB" w:eastAsia="en-GB"/>
        </w:rPr>
        <w:t xml:space="preserve"> </w:t>
      </w:r>
      <w:r w:rsidR="0021271B" w:rsidRPr="0021271B">
        <w:rPr>
          <w:i/>
          <w:iCs/>
          <w:lang w:val="en-GB" w:eastAsia="en-GB"/>
        </w:rPr>
        <w:t>4</w:t>
      </w:r>
      <w:r w:rsidR="0021271B">
        <w:rPr>
          <w:lang w:val="en-GB" w:eastAsia="en-GB"/>
        </w:rPr>
        <w:t>(1), 727-</w:t>
      </w:r>
      <w:r w:rsidR="008465A1">
        <w:rPr>
          <w:lang w:val="en-GB" w:eastAsia="en-GB"/>
        </w:rPr>
        <w:t>741.</w:t>
      </w:r>
    </w:p>
    <w:p w14:paraId="0AC52571" w14:textId="77777777" w:rsidR="003E2BCC" w:rsidRPr="00177D6D" w:rsidRDefault="003E2BCC" w:rsidP="009625CD">
      <w:pPr>
        <w:rPr>
          <w:lang w:val="en-GB" w:eastAsia="en-GB"/>
        </w:rPr>
      </w:pPr>
    </w:p>
    <w:p w14:paraId="239586AD" w14:textId="118D9E0B" w:rsidR="00305EAC" w:rsidRPr="00177D6D" w:rsidRDefault="00305EAC" w:rsidP="00305EAC">
      <w:pPr>
        <w:jc w:val="both"/>
        <w:rPr>
          <w:rFonts w:eastAsia="Times New Roman"/>
          <w:b/>
          <w:bCs/>
        </w:rPr>
      </w:pPr>
      <w:r w:rsidRPr="00177D6D">
        <w:rPr>
          <w:rFonts w:eastAsia="Times New Roman"/>
          <w:b/>
          <w:bCs/>
        </w:rPr>
        <w:t>Introduction</w:t>
      </w:r>
    </w:p>
    <w:p w14:paraId="00F4D08F" w14:textId="77777777" w:rsidR="00305EAC" w:rsidRPr="00177D6D" w:rsidRDefault="00305EAC" w:rsidP="00305EAC">
      <w:pPr>
        <w:jc w:val="both"/>
        <w:rPr>
          <w:rFonts w:eastAsia="Times New Roman"/>
          <w:b/>
          <w:bCs/>
        </w:rPr>
      </w:pPr>
    </w:p>
    <w:p w14:paraId="49461419" w14:textId="4DADB0D7" w:rsidR="00D10C21" w:rsidRPr="00EA23E3" w:rsidRDefault="00D10C21" w:rsidP="00D10C21">
      <w:pPr>
        <w:ind w:firstLine="720"/>
        <w:jc w:val="both"/>
      </w:pPr>
      <w:r w:rsidRPr="00EA23E3">
        <w:t>Indoor air pollution (IAP) is one of the leading environmental health challenges worldwide, particularly in low- and middle-income countries where biomass fuels remain the primary source of household energy</w:t>
      </w:r>
      <w:r w:rsidR="00866B7F">
        <w:rPr>
          <w:lang w:val="en-US"/>
        </w:rPr>
        <w:t xml:space="preserve"> </w:t>
      </w:r>
      <w:r w:rsidR="00866B7F">
        <w:rPr>
          <w:lang w:val="en-US"/>
        </w:rPr>
        <w:fldChar w:fldCharType="begin"/>
      </w:r>
      <w:r w:rsidR="00E6458E">
        <w:rPr>
          <w:lang w:val="en-US"/>
        </w:rPr>
        <w:instrText xml:space="preserve"> ADDIN ZOTERO_ITEM CSL_CITATION {"citationID":"exWlqvsU","properties":{"unsorted":false,"formattedCitation":"(Dhital et al., 2022a)","plainCitation":"(Dhital et al., 2022a)","noteIndex":0},"citationItems":[{"id":14923,"uris":["http://zotero.org/users/local/vwAKDnao/items/LRXQJKIS"],"itemData":{"id":14923,"type":"article-journal","container-title":"Journal of Environmental Management","DOI":"10.1016/j.jenvman.2022.115736","ISSN":"03014797","journalAbbreviation":"Journal of Environmental Management","language":"en","page":"115736","source":"DOI.org (Crossref)","title":"A scientometric analysis of indoor air pollution research during 1990–2019","URL":"https://linkinghub.elsevier.com/retrieve/pii/S0301479722013093","volume":"320","author":[{"family":"Dhital","given":"Sushma"},{"family":"Rupakheti","given":"Dipesh"},{"family":"Rupakheti","given":"Maheswar"},{"family":"Yin","given":"Xiufeng"},{"family":"Liu","given":"Yanli"},{"family":"Mafiana","given":"Joy James"},{"family":"Alareqi","given":"Mohammed Muneer"},{"family":"Mohamednour","given":"Halabia"},{"family":"Zhang","given":"Benzhong"}],"accessed":{"date-parts":[["2026",8,30]]},"issued":{"date-parts":[["2022",10]]}}}],"schema":"https://github.com/citation-style-language/schema/raw/master/csl-citation.json"} </w:instrText>
      </w:r>
      <w:r w:rsidR="00866B7F">
        <w:rPr>
          <w:lang w:val="en-US"/>
        </w:rPr>
        <w:fldChar w:fldCharType="separate"/>
      </w:r>
      <w:r w:rsidR="00E6458E" w:rsidRPr="00E6458E">
        <w:t>(Dhital et al., 2022)</w:t>
      </w:r>
      <w:r w:rsidR="00866B7F">
        <w:rPr>
          <w:lang w:val="en-US"/>
        </w:rPr>
        <w:fldChar w:fldCharType="end"/>
      </w:r>
      <w:r w:rsidR="00866B7F">
        <w:rPr>
          <w:lang w:val="en-US"/>
        </w:rPr>
        <w:t xml:space="preserve">; </w:t>
      </w:r>
      <w:r w:rsidR="00866B7F">
        <w:rPr>
          <w:lang w:val="en-US"/>
        </w:rPr>
        <w:fldChar w:fldCharType="begin"/>
      </w:r>
      <w:r w:rsidR="00E6458E">
        <w:rPr>
          <w:lang w:val="en-US"/>
        </w:rPr>
        <w:instrText xml:space="preserve"> ADDIN ZOTERO_ITEM CSL_CITATION {"citationID":"OsMiZ420","properties":{"unsorted":false,"formattedCitation":"(Yadav et al., 2024)","plainCitation":"(Yadav et al., 2024)","noteIndex":0},"citationItems":[{"id":14924,"uris":["http://zotero.org/users/local/vwAKDnao/items/4E6CV9JV"],"itemData":{"id":14924,"type":"article-journal","container-title":"BMC Public Health","DOI":"10.1186/s12889-024-20789-y","ISSN":"1471-2458","issue":"1","journalAbbreviation":"BMC Public Health","language":"en","page":"3619","source":"DOI.org (Crossref)","title":"Association between biomass cooking fuels and prevalence of tuberculosis among households: a cross-sectional study from 2019 - 2021 in India","title-short":"Association between biomass cooking fuels and prevalence of tuberculosis among households","URL":"https://bmcpublichealth.biomedcentral.com/articles/10.1186/s12889-024-20789-y","volume":"24","author":[{"family":"Yadav","given":"Baikunth Kumar"},{"family":"Singh","given":"Pranveer"},{"family":"Satapathy","given":"Prakasini"},{"family":"Arasu","given":"Ponnusamy Thillai"}],"accessed":{"date-parts":[["2026",8,30]]},"issued":{"date-parts":[["2024",12,31]]}}}],"schema":"https://github.com/citation-style-language/schema/raw/master/csl-citation.json"} </w:instrText>
      </w:r>
      <w:r w:rsidR="00866B7F">
        <w:rPr>
          <w:lang w:val="en-US"/>
        </w:rPr>
        <w:fldChar w:fldCharType="separate"/>
      </w:r>
      <w:r w:rsidR="00E6458E" w:rsidRPr="00E6458E">
        <w:t>(Yadav et al., 2024)</w:t>
      </w:r>
      <w:r w:rsidR="00866B7F">
        <w:rPr>
          <w:lang w:val="en-US"/>
        </w:rPr>
        <w:fldChar w:fldCharType="end"/>
      </w:r>
      <w:r w:rsidRPr="00EA23E3">
        <w:t>. Indoor air pollution refers to the contamination of indoor air by harmful physical, chemical, and biological pollutants generated from household activities such as cooking, heating, lighting, smoking, and the use of household chemicals</w:t>
      </w:r>
      <w:r w:rsidR="00866B7F">
        <w:rPr>
          <w:lang w:val="en-US"/>
        </w:rPr>
        <w:t xml:space="preserve"> </w:t>
      </w:r>
      <w:r w:rsidR="00866B7F">
        <w:rPr>
          <w:lang w:val="en-US"/>
        </w:rPr>
        <w:fldChar w:fldCharType="begin"/>
      </w:r>
      <w:r w:rsidR="00E6458E">
        <w:rPr>
          <w:lang w:val="en-US"/>
        </w:rPr>
        <w:instrText xml:space="preserve"> ADDIN ZOTERO_ITEM CSL_CITATION {"citationID":"hyGv9Uco","properties":{"unsorted":false,"formattedCitation":"(Ndlovu et al., 2025)","plainCitation":"(Ndlovu et al., 2025)","noteIndex":0},"citationItems":[{"id":14926,"uris":["http://zotero.org/users/local/vwAKDnao/items/KZCECK76"],"itemData":{"id":14926,"type":"article-journal","container-title":"Critical Public Health","DOI":"10.1080/09581596.2025.2580755","ISSN":"0958-1596, 1469-3682","issue":"1","journalAbbreviation":"Critical Public Health","language":"en","page":"2580755","source":"DOI.org (Crossref)","title":"Impact of indoor air pollution on maternal cardio-respiratory health and childbirth outcomes: systematic review.","title-short":"Impact of indoor air pollution on maternal cardio-respiratory health and childbirth outcomes","URL":"https://www.tandfonline.com/doi/full/10.1080/09581596.2025.2580755","volume":"35","author":[{"family":"Ndlovu","given":"Nomagugu"},{"family":"Akah","given":"Roland Tiagha"},{"family":"Enoh","given":"Jude Eteneneng"},{"family":"Nkeh-Chungag","given":"Benedicta Ngwenchi"}],"accessed":{"date-parts":[["2026",8,30]]},"issued":{"date-parts":[["2025",12,31]]}}}],"schema":"https://github.com/citation-style-language/schema/raw/master/csl-citation.json"} </w:instrText>
      </w:r>
      <w:r w:rsidR="00866B7F">
        <w:rPr>
          <w:lang w:val="en-US"/>
        </w:rPr>
        <w:fldChar w:fldCharType="separate"/>
      </w:r>
      <w:r w:rsidR="00E6458E" w:rsidRPr="00E6458E">
        <w:t>(Ndlovu et al., 2025)</w:t>
      </w:r>
      <w:r w:rsidR="00866B7F">
        <w:rPr>
          <w:lang w:val="en-US"/>
        </w:rPr>
        <w:fldChar w:fldCharType="end"/>
      </w:r>
      <w:r w:rsidR="00866B7F">
        <w:rPr>
          <w:lang w:val="en-US"/>
        </w:rPr>
        <w:t xml:space="preserve">; </w:t>
      </w:r>
      <w:r w:rsidR="00866B7F">
        <w:rPr>
          <w:lang w:val="en-US"/>
        </w:rPr>
        <w:fldChar w:fldCharType="begin"/>
      </w:r>
      <w:r w:rsidR="00E6458E">
        <w:rPr>
          <w:lang w:val="en-US"/>
        </w:rPr>
        <w:instrText xml:space="preserve"> ADDIN ZOTERO_ITEM CSL_CITATION {"citationID":"xZWYYPyN","properties":{"unsorted":false,"formattedCitation":"(Downward et al., 2018)","plainCitation":"(Downward et al., 2018)","noteIndex":0},"citationItems":[{"id":14927,"uris":["http://zotero.org/users/local/vwAKDnao/items/WJ8VRIE3"],"itemData":{"id":14927,"type":"article-journal","container-title":"Environmental Pollution","DOI":"10.1016/j.envpol.2017.10.094","ISSN":"02697491","journalAbbreviation":"Environmental Pollution","language":"en","page":"690-697","source":"DOI.org (Crossref)","title":"Occupational exposure to indoor air pollution among bakery workers in Ethiopia; A comparison of electric and biomass cookstoves","URL":"https://linkinghub.elsevier.com/retrieve/pii/S0269749117328531","volume":"233","author":[{"family":"Downward","given":"George S."},{"family":"Van Der Zwaag","given":"Hugo P."},{"family":"Simons","given":"Leon"},{"family":"Meliefste","given":"Kees"},{"family":"Tefera","given":"Yifokire"},{"family":"Carreon","given":"J. Rosales"},{"family":"Vermeulen","given":"Roel"},{"family":"Smit","given":"Lidwien A.M."}],"accessed":{"date-parts":[["2026",8,30]]},"issued":{"date-parts":[["2018",2]]}}}],"schema":"https://github.com/citation-style-language/schema/raw/master/csl-citation.json"} </w:instrText>
      </w:r>
      <w:r w:rsidR="00866B7F">
        <w:rPr>
          <w:lang w:val="en-US"/>
        </w:rPr>
        <w:fldChar w:fldCharType="separate"/>
      </w:r>
      <w:r w:rsidR="00E6458E" w:rsidRPr="00E6458E">
        <w:t>(Downward et al., 2018)</w:t>
      </w:r>
      <w:r w:rsidR="00866B7F">
        <w:rPr>
          <w:lang w:val="en-US"/>
        </w:rPr>
        <w:fldChar w:fldCharType="end"/>
      </w:r>
      <w:r w:rsidRPr="00EA23E3">
        <w:t>. Among these sources, the combustion of biomass fuels</w:t>
      </w:r>
      <w:r>
        <w:t xml:space="preserve"> </w:t>
      </w:r>
      <w:r w:rsidRPr="00EA23E3">
        <w:t>including firewood, charcoal, agricultural residues, animal dung, and crop wastes</w:t>
      </w:r>
      <w:r>
        <w:t xml:space="preserve"> </w:t>
      </w:r>
      <w:r w:rsidRPr="00EA23E3">
        <w:t>is recognized as one of the greatest contributors to indoor air pollution.</w:t>
      </w:r>
      <w:r>
        <w:rPr>
          <w:lang w:val="en-US"/>
        </w:rPr>
        <w:t xml:space="preserve"> </w:t>
      </w:r>
      <w:r w:rsidRPr="00EA23E3">
        <w:t>Globally, approximately 2.3 billion people continue to rely on biomass fuels for cooking and heating</w:t>
      </w:r>
      <w:r w:rsidR="00245F4C">
        <w:rPr>
          <w:lang w:val="en-US"/>
        </w:rPr>
        <w:t xml:space="preserve"> </w:t>
      </w:r>
      <w:r w:rsidR="00245F4C">
        <w:rPr>
          <w:lang w:val="en-US"/>
        </w:rPr>
        <w:fldChar w:fldCharType="begin"/>
      </w:r>
      <w:r w:rsidR="00E6458E">
        <w:rPr>
          <w:lang w:val="en-US"/>
        </w:rPr>
        <w:instrText xml:space="preserve"> ADDIN ZOTERO_ITEM CSL_CITATION {"citationID":"ZKTVNaDX","properties":{"unsorted":false,"formattedCitation":"(Kotzias, 2022)","plainCitation":"(Kotzias, 2022)","noteIndex":0},"citationItems":[{"id":14895,"uris":["http://zotero.org/users/local/vwAKDnao/items/V42WZ2D4"],"itemData":{"id":14895,"type":"article-journal","container-title":"Journal of Hazardous Materials Advances","DOI":"10.1016/j.hazadv.2022.100197","ISSN":"27724166","journalAbbreviation":"Journal of Hazardous Materials Advances","language":"en","page":"100197","source":"DOI.org (Crossref)","title":"Exposure to volatile organic compounds in indoor/outdoor environments and methodological approaches for exposure estimates -the European paradigm","URL":"https://linkinghub.elsevier.com/retrieve/pii/S277241662200153X","volume":"8","author":[{"family":"Kotzias","given":"Dimitrios"}],"accessed":{"date-parts":[["2026",8,30]]},"issued":{"date-parts":[["2022",11]]}}}],"schema":"https://github.com/citation-style-language/schema/raw/master/csl-citation.json"} </w:instrText>
      </w:r>
      <w:r w:rsidR="00245F4C">
        <w:rPr>
          <w:lang w:val="en-US"/>
        </w:rPr>
        <w:fldChar w:fldCharType="separate"/>
      </w:r>
      <w:r w:rsidR="00E6458E" w:rsidRPr="00E6458E">
        <w:t>(Kotzias, 2022)</w:t>
      </w:r>
      <w:r w:rsidR="00245F4C">
        <w:rPr>
          <w:lang w:val="en-US"/>
        </w:rPr>
        <w:fldChar w:fldCharType="end"/>
      </w:r>
      <w:r w:rsidR="00245F4C">
        <w:rPr>
          <w:lang w:val="en-US"/>
        </w:rPr>
        <w:t xml:space="preserve">; </w:t>
      </w:r>
      <w:r w:rsidR="00245F4C">
        <w:rPr>
          <w:lang w:val="en-US"/>
        </w:rPr>
        <w:fldChar w:fldCharType="begin"/>
      </w:r>
      <w:r w:rsidR="00E6458E">
        <w:rPr>
          <w:lang w:val="en-US"/>
        </w:rPr>
        <w:instrText xml:space="preserve"> ADDIN ZOTERO_ITEM CSL_CITATION {"citationID":"fPCJ6rAG","properties":{"unsorted":false,"formattedCitation":"(Santijitpakdee et al., 2025)","plainCitation":"(Santijitpakdee et al., 2025)","noteIndex":0},"citationItems":[{"id":14896,"uris":["http://zotero.org/users/local/vwAKDnao/items/4QJ6WSU2"],"itemData":{"id":14896,"type":"article-journal","abstract":"The present study investigated the concentrations, sources, and potential health risk assessment of polycyclic aromatic hydrocarbons (PAHs) in house dust from residences in Samoeng District, Chiang Mai Province, Thailand. Samples of house dust from 48 households were analyzed for 16 PAHs. The total concentrations of PAHs (ΣPAHs) ranged between 270.1 to 45,386.8 ng g−1, with a mean of 3942.4 ± 8175.1 ng g−1. Pyrene (Pyr), benzo(k)fluoranthene (BkF), and indeno(1,2,3-cd)pyrene (IcdP) were the predominant compounds. Diagnostic ratios and principal component analysis (PCA) showed wood and the burning of biomass as the predominant sources. Evaluations of incremental lifetime cancer risk (ILCR) showed higher risks, especially for children (average ILCR = 6.57 × 10−3), with dermal contact as the main exposed pathway. Risks exceeded acceptable criteria (10−6 to 10−4), suggesting serious public health problems. The results highlight the significance of pollution mitigation measures, such as reducing the use of biomass combustion and improving indoor air quality, for protecting vulnerable populations in rural regions. The research conducted presents important insights into the environmental health impacts of PAHs in residences and shows the importance of public health procedures that can reduce exposure.","container-title":"Buildings","DOI":"10.3390/buildings15111855","ISSN":"2075-5309","issue":"11","journalAbbreviation":"Buildings","language":"en","page":"1855","source":"DOI.org (Crossref)","title":"Polycyclic Aromatic Hydrocarbons (PAHs) in Household Dusts: Distribution, Sources, and Health Risk Assessment from Rural Areas in Chiang Mai Province, Thailand","title-short":"Polycyclic Aromatic Hydrocarbons (PAHs) in Household Dusts","URL":"https://www.mdpi.com/2075-5309/15/11/1855","volume":"15","author":[{"family":"Santijitpakdee","given":"Teetawat"},{"family":"Hongsibsong","given":"Surat"},{"family":"Boonyapranai","given":"Kongsak"},{"family":"Kulprachakarn","given":"Kanokwan"},{"family":"Parklak","given":"Wason"},{"family":"Ounjaijean","given":"Sakaewan"},{"family":"Kawichai","given":"Sawaeng"}],"accessed":{"date-parts":[["2026",8,30]]},"issued":{"date-parts":[["2025",5,28]]}}}],"schema":"https://github.com/citation-style-language/schema/raw/master/csl-citation.json"} </w:instrText>
      </w:r>
      <w:r w:rsidR="00245F4C">
        <w:rPr>
          <w:lang w:val="en-US"/>
        </w:rPr>
        <w:fldChar w:fldCharType="separate"/>
      </w:r>
      <w:r w:rsidR="00E6458E" w:rsidRPr="00E6458E">
        <w:t>(Santijitpakdee et al., 2025)</w:t>
      </w:r>
      <w:r w:rsidR="00245F4C">
        <w:rPr>
          <w:lang w:val="en-US"/>
        </w:rPr>
        <w:fldChar w:fldCharType="end"/>
      </w:r>
      <w:r w:rsidRPr="00EA23E3">
        <w:t>. The incomplete combustion of these fuels produces a wide range of harmful pollutants, including particulate matter (PM₂.₅ and PM₁₀), carbon monoxide (CO), nitrogen dioxide (NO₂), sulfur dioxide (SO₂), volatile organic compounds (VOCs), benzene, formaldehyde, and polycyclic aromatic hydrocarbons (PAHs). These pollutants accumulate within poorly ventilated homes, exposing household members to concentrations of air contaminants far exceeding internationally recommended limits</w:t>
      </w:r>
      <w:r w:rsidR="00245F4C">
        <w:rPr>
          <w:lang w:val="en-US"/>
        </w:rPr>
        <w:t xml:space="preserve"> </w:t>
      </w:r>
      <w:r w:rsidR="00245F4C">
        <w:rPr>
          <w:lang w:val="en-US"/>
        </w:rPr>
        <w:fldChar w:fldCharType="begin"/>
      </w:r>
      <w:r w:rsidR="00E6458E">
        <w:rPr>
          <w:lang w:val="en-US"/>
        </w:rPr>
        <w:instrText xml:space="preserve"> ADDIN ZOTERO_ITEM CSL_CITATION {"citationID":"cjOxhiMw","properties":{"unsorted":false,"formattedCitation":"(Roy Choudhury et al., 2025)","plainCitation":"(Roy Choudhury et al., 2025)","noteIndex":0},"citationItems":[{"id":14893,"uris":["http://zotero.org/users/local/vwAKDnao/items/GGJJWBTW"],"itemData":{"id":14893,"type":"article-journal","abstract":"Renovation poses higher health risks than neighborhood activities, as statistical analysis highlights pollution concentration and benzene as key factors; based on this, a survey-driven indoor air quality index, ranging from 22 to 100, was developed.\n          , \n            \n              Accounting for nearly 5% of the global gross domestic product, the construction industry significantly contributes to environmental pollution, emitting a broad range of hazardous pollutants, including particulate matter (PM\n              10\n              , PM\n              2.5\n              ), carbon monoxide (CO), nitrogen oxides (NO\n              \n                x\n              \n              ), volatile organic compounds (VOCs), benzene and polycyclic aromatic hydrocarbons (PAHs). Individuals spend approximately 90% of their time indoors, where the air quality is heavily influenced by construction and demolition (C&amp;D) activities that are carried out within or adjacent to residences. Despite regulatory interventions in the early 21st century emphasizing the importance of indoor air quality (IAQ), the contribution of C&amp;D activities to indoor pollution remains largely underexplored, particularly to seasonal variations, extended renovation periods, and the release of case-specific pollutants. This review bridges knowledge gaps by examining the correlation between construction activities, pollutant emissions, health risks, and the efficacy of existing regulations. Key investigations include the impact of infrastructural inefficiencies and improper ventilation on IAQ, seasonal pollutant variations, and the disproportionate exposure risks faced by vulnerable populations, such as women and workers. The literature suggests that prolonged exposure prompts sick-building syndrome and ailments such as compromised immunity, bronchial allergy, asthma, and lung cancer. A survey-based data collection and analysis were conducted to gather and refine residents' practical insights across India, contributing to the development of an IAQ index. This tailored index, ranging from 22 to 100, is designed for indoor environments, incorporating building-specific and occupancy-related factors. In the long term, the index can provide actionable insights for administrators and communities to mitigate IAQ risks effectively, promoting healthier indoor environments by providing a quantitative measure of the health risks associated with exposure to poor indoor air quality in the absence of a pollutant dataset. The study enables individual households to take measures to retrofit indoor spaces by upgrading to better-quality materials or modifying the design of the building to reduce health risks and improve air exchange.","container-title":"Environmental Science: Atmospheres","DOI":"10.1039/D5EA00027K","ISSN":"2634-3606","issue":"9","journalAbbreviation":"Environ. Sci.: Atmos.","language":"en","page":"941-961","source":"DOI.org (Crossref)","title":"Environmental health hazards attributed to deteriorated indoor air quality caused by inferior construction practices","URL":"https://pubs.rsc.org/ea/article/5/9/941-961/312916","volume":"5","author":[{"family":"Roy Choudhury","given":"Atun"},{"family":"Singh","given":"Neha"},{"family":"Chinthala","given":"Sumanth"},{"family":"Lalwani","given":"Jitesh"},{"family":"J.","given":"Sri Kalyana Rama"},{"family":"N.","given":"Chandana"},{"family":"Palani","given":"Sankar Ganesh"},{"family":"Mehdizadeh","given":"Mohammad"},{"family":"Ram","given":"V. Vinayaka"},{"family":"Akhbari","given":"Azam"}],"accessed":{"date-parts":[["2026",8,30]]},"issued":{"date-parts":[["2025"]]}}}],"schema":"https://github.com/citation-style-language/schema/raw/master/csl-citation.json"} </w:instrText>
      </w:r>
      <w:r w:rsidR="00245F4C">
        <w:rPr>
          <w:lang w:val="en-US"/>
        </w:rPr>
        <w:fldChar w:fldCharType="separate"/>
      </w:r>
      <w:r w:rsidR="00E6458E" w:rsidRPr="00E6458E">
        <w:t>(Roy Choudhury et al., 2025)</w:t>
      </w:r>
      <w:r w:rsidR="00245F4C">
        <w:rPr>
          <w:lang w:val="en-US"/>
        </w:rPr>
        <w:fldChar w:fldCharType="end"/>
      </w:r>
      <w:r w:rsidR="00245F4C">
        <w:rPr>
          <w:lang w:val="en-US"/>
        </w:rPr>
        <w:t xml:space="preserve">; </w:t>
      </w:r>
      <w:r w:rsidR="00245F4C">
        <w:rPr>
          <w:lang w:val="en-US"/>
        </w:rPr>
        <w:fldChar w:fldCharType="begin"/>
      </w:r>
      <w:r w:rsidR="00E6458E">
        <w:rPr>
          <w:lang w:val="en-US"/>
        </w:rPr>
        <w:instrText xml:space="preserve"> ADDIN ZOTERO_ITEM CSL_CITATION {"citationID":"FW2zCcVB","properties":{"unsorted":false,"formattedCitation":"(Lovri\\uc0\\u263{} et al., 2024)","plainCitation":"(Lovrić et al., 2024)","noteIndex":0},"citationItems":[{"id":14894,"uris":["http://zotero.org/users/local/vwAKDnao/items/VTF33DTN"],"itemData":{"id":14894,"type":"article-journal","abstract":"Polycyclic aromatic hydrocarbons (PAH) are key components of particulate matter (PM) in terms of the toxicological risk of polluted air. Although commonly monitored in ambient air, PAHs are also present in indoor air, making the measurement of indoor PAH content essential for understanding the health risks associated with indoor environments. This study presents findings from measurements conducted across 37 households where children resided, using 7-day sampling campaigns to collect PM1. The health risk assessment methods are detailed herein, along with a source apportionment analysis to explore the associations with potential sources and differences from ambient air concentrations. Additionally, the incremental lifetime cancer risk (ILCR) was calculated to assess long-term health risks associated with exposure to indoor PAHs. The results showed consistently higher PAH concentrations in outdoor environments (from 0.079 ng m−3 for dibenzo(a,h)anthracene to 1.638 ng m−3 for benzo(b)fluoranthene) compared to indoor environments (from 0.029 ng m−3 for dibenzo(a,h)anthracene to 0.772 ng m−3 for indeno(1,2,3-cd)pyrene), suggesting significant transfer of PAHs from outdoor to indoor air. The source apportionment analysis indicated that traffic emissions, fossil fuel combustion, and residential heating were the predominant sources of PAHs in both environments, with the concentration of indoor PAHs largely influenced by gasoline and liquid fossil fuel combustion. The diagnostic ratios supported these findings, with coal and biomass as additional sources impacting outdoor PAH levels. The ILCR analysis revealed that the exposure levels for both children (indoors at 1.78 × 10−5, outdoors at 1.92 × 10−6) and adults (indoors at 1.15 × 10−5, outdoors at 1.24 × 10−6) remained below the U.S. EPA’s risk threshold, suggesting limited carcinogenic risk under typical household conditions in this study. These findings emphasize the complexity of PAH distribution between indoor and outdoor environments, illustrating how urban outdoor pollution sources contribute to indoor air quality and highlighting the relevance of effective air quality management strategies.","container-title":"Atmosphere","DOI":"10.3390/atmos15121525","ISSN":"2073-4433","issue":"12","journalAbbreviation":"Atmosphere","language":"en","page":"1525","source":"DOI.org (Crossref)","title":"Indoor Polycyclic Aromatic Hydrocarbons—Relationship to Ambient Air, Risk Estimation, and Source Apportionment Based on Household Measurements","URL":"https://www.mdpi.com/2073-4433/15/12/1525","volume":"15","author":[{"family":"Lovrić","given":"Mario"},{"family":"Račić","given":"Nikolina"},{"family":"Pehnec","given":"Gordana"},{"family":"Horvat","given":"Tajana"},{"family":"Lovrić Štefiček","given":"Marija Jelena"},{"family":"Jakovljević","given":"Ivana"}],"accessed":{"date-parts":[["2026",8,30]]},"issued":{"date-parts":[["2024",12,20]]}}}],"schema":"https://github.com/citation-style-language/schema/raw/master/csl-citation.json"} </w:instrText>
      </w:r>
      <w:r w:rsidR="00245F4C">
        <w:rPr>
          <w:lang w:val="en-US"/>
        </w:rPr>
        <w:fldChar w:fldCharType="separate"/>
      </w:r>
      <w:r w:rsidR="00E6458E" w:rsidRPr="00E6458E">
        <w:t>(Lovrić et al., 2024)</w:t>
      </w:r>
      <w:r w:rsidR="00245F4C">
        <w:rPr>
          <w:lang w:val="en-US"/>
        </w:rPr>
        <w:fldChar w:fldCharType="end"/>
      </w:r>
      <w:r w:rsidRPr="00EA23E3">
        <w:t>.</w:t>
      </w:r>
    </w:p>
    <w:p w14:paraId="16FE8201" w14:textId="1B65FCED" w:rsidR="00D10C21" w:rsidRPr="00EA23E3" w:rsidRDefault="00D10C21" w:rsidP="00D10C21">
      <w:pPr>
        <w:ind w:firstLine="720"/>
        <w:jc w:val="both"/>
      </w:pPr>
      <w:r w:rsidRPr="00EA23E3">
        <w:t>The World Health Organization (WHO) estimates that household air pollution contributes to approximately 3.2 million premature deaths annually, with women and children bearing the greatest burden because they spend longer periods indoors, particularly during cooking activities</w:t>
      </w:r>
      <w:r w:rsidR="00866B7F">
        <w:rPr>
          <w:lang w:val="en-US"/>
        </w:rPr>
        <w:t xml:space="preserve"> </w:t>
      </w:r>
      <w:r w:rsidR="00866B7F">
        <w:rPr>
          <w:lang w:val="en-US"/>
        </w:rPr>
        <w:fldChar w:fldCharType="begin"/>
      </w:r>
      <w:r w:rsidR="00E6458E">
        <w:rPr>
          <w:lang w:val="en-US"/>
        </w:rPr>
        <w:instrText xml:space="preserve"> ADDIN ZOTERO_ITEM CSL_CITATION {"citationID":"s92iyNRk","properties":{"unsorted":false,"formattedCitation":"(Shilenje et al., 2022)","plainCitation":"(Shilenje et al., 2022)","noteIndex":0},"citationItems":[{"id":14928,"uris":["http://zotero.org/users/local/vwAKDnao/items/DW28QYHT"],"itemData":{"id":14928,"type":"article-journal","abstract":"Household air pollution (HAP) causes multiple noncommunicable diseases, such as pneumonia, stroke, and ischemic heart disease, and is responsible for over 3.8 million deaths globally per year. Kenya has a high rate of HAP, mainly caused by solid fuels. This review assesses its effect and identifies factors that could improve policy in Kenya. A systematic review approach is used, mainly considering 88 research articles on the Web of Science, published from 1951 to 2022. We excluded studies on HAP caused by other forms of fuel, subjective study types, and studies focusing on animals. The results show that rural settings and urban slums have more HAP, ventilation is an important factor, HAP is high in the evening, and children and women health is significantly affected. There is a need for interventions to reduce the use of biomass fuels in Kenya. The interventions include improved access to efficient cookstoves with ventilation, community health awareness about ventilation, housing rules for better ventilation in rural and urban areas, and NGO partnership for improving access to improved cookstoves in rural areas. The government’s role includes subsidizing the supply and cost of renewable energy and adopting energy policies that encourage populations to switch to more efficient cookstoves, cleaner energy, and modern biofuels.","container-title":"Frontiers in Environmental Science","DOI":"10.3389/fenvs.2022.996038","ISSN":"2296-665X","journalAbbreviation":"Front. Environ. Sci.","page":"996038","source":"DOI.org (Crossref)","title":"A review on household air pollution and biomass use over Kenya","URL":"https://www.frontiersin.org/articles/10.3389/fenvs.2022.996038/full","volume":"10","author":[{"family":"Shilenje","given":"Zablon Weku"},{"family":"Maloba","given":"Scholastica"},{"family":"Ongoma","given":"Victor"}],"accessed":{"date-parts":[["2026",8,30]]},"issued":{"date-parts":[["2022",11,8]]}}}],"schema":"https://github.com/citation-style-language/schema/raw/master/csl-citation.json"} </w:instrText>
      </w:r>
      <w:r w:rsidR="00866B7F">
        <w:rPr>
          <w:lang w:val="en-US"/>
        </w:rPr>
        <w:fldChar w:fldCharType="separate"/>
      </w:r>
      <w:r w:rsidR="00E6458E" w:rsidRPr="00E6458E">
        <w:t>(Shilenje et al., 2022)</w:t>
      </w:r>
      <w:r w:rsidR="00866B7F">
        <w:rPr>
          <w:lang w:val="en-US"/>
        </w:rPr>
        <w:fldChar w:fldCharType="end"/>
      </w:r>
      <w:r w:rsidR="00866B7F">
        <w:rPr>
          <w:lang w:val="en-US"/>
        </w:rPr>
        <w:t xml:space="preserve">; </w:t>
      </w:r>
      <w:r w:rsidR="00866B7F">
        <w:rPr>
          <w:lang w:val="en-US"/>
        </w:rPr>
        <w:fldChar w:fldCharType="begin"/>
      </w:r>
      <w:r w:rsidR="00E6458E">
        <w:rPr>
          <w:lang w:val="en-US"/>
        </w:rPr>
        <w:instrText xml:space="preserve"> ADDIN ZOTERO_ITEM CSL_CITATION {"citationID":"Qnvqxivd","properties":{"unsorted":false,"formattedCitation":"(Desye et al., 2025)","plainCitation":"(Desye et al., 2025)","noteIndex":0},"citationItems":[{"id":14930,"uris":["http://zotero.org/users/local/vwAKDnao/items/2X2MD6WV"],"itemData":{"id":14930,"type":"article-journal","container-title":"BMC Infectious Diseases","DOI":"10.1186/s12879-025-12148-y","ISSN":"1471-2334","issue":"1","journalAbbreviation":"BMC Infect Dis","language":"en","page":"1808","source":"DOI.org (Crossref)","title":"Indoor air pollution exposure and acute respiratory infection among under-five children in low- and middle-income countries: a systematic review and meta-analysis of epidemiological studies","title-short":"Indoor air pollution exposure and acute respiratory infection among under-five children in low- and middle-income countries","URL":"https://link.springer.com/10.1186/s12879-025-12148-y","volume":"25","author":[{"family":"Desye","given":"Belay"},{"family":"Geto","given":"Abebe Kassa"},{"family":"Daba","given":"Chala"},{"family":"Berihun","given":"Gete"},{"family":"Berhanu","given":"Leykun"}],"accessed":{"date-parts":[["2026",8,30]]},"issued":{"date-parts":[["2025",11,24]]}}}],"schema":"https://github.com/citation-style-language/schema/raw/master/csl-citation.json"} </w:instrText>
      </w:r>
      <w:r w:rsidR="00866B7F">
        <w:rPr>
          <w:lang w:val="en-US"/>
        </w:rPr>
        <w:fldChar w:fldCharType="separate"/>
      </w:r>
      <w:r w:rsidR="00E6458E" w:rsidRPr="00E6458E">
        <w:t>(Desye et al., 2025)</w:t>
      </w:r>
      <w:r w:rsidR="00866B7F">
        <w:rPr>
          <w:lang w:val="en-US"/>
        </w:rPr>
        <w:fldChar w:fldCharType="end"/>
      </w:r>
      <w:r w:rsidRPr="00EA23E3">
        <w:t>. Exposure to indoor air pollution has been associated with several adverse health outcomes, including acute respiratory infections, chronic obstructive pulmonary disease (COPD), asthma, lung cancer, cardiovascular diseases, cataracts, low birth weight, adverse pregnancy outcomes, and premature mortality</w:t>
      </w:r>
      <w:r w:rsidR="00245F4C">
        <w:rPr>
          <w:lang w:val="en-US"/>
        </w:rPr>
        <w:t xml:space="preserve"> </w:t>
      </w:r>
      <w:r w:rsidR="00245F4C">
        <w:rPr>
          <w:lang w:val="en-US"/>
        </w:rPr>
        <w:fldChar w:fldCharType="begin"/>
      </w:r>
      <w:r w:rsidR="00E6458E">
        <w:rPr>
          <w:lang w:val="en-US"/>
        </w:rPr>
        <w:instrText xml:space="preserve"> ADDIN ZOTERO_ITEM CSL_CITATION {"citationID":"9Mt801RP","properties":{"unsorted":false,"formattedCitation":"(Kingham et al., 2000)","plainCitation":"(Kingham et al., 2000)","noteIndex":0},"citationItems":[{"id":14897,"uris":["http://zotero.org/users/local/vwAKDnao/items/UJ4WD8F8"],"itemData":{"id":14897,"type":"article-journal","container-title":"Atmospheric Environment","DOI":"10.1016/S1352-2310(99)00321-0","ISSN":"13522310","issue":"6","journalAbbreviation":"Atmospheric Environment","language":"en","license":"https://www.elsevier.com/tdm/userlicense/1.0/","page":"905-916","source":"DOI.org (Crossref)","title":"Spatial variations in the concentrations of traffic-related pollutants in indoor and outdoor air in Huddersfield, England","URL":"https://linkinghub.elsevier.com/retrieve/pii/S1352231099003210","volume":"34","author":[{"family":"Kingham","given":"Simon"},{"family":"Briggs","given":"David"},{"family":"Elliott","given":"Paul"},{"family":"Fischer","given":"Paul"},{"literal":"Erik Lebret"}],"accessed":{"date-parts":[["2026",8,30]]},"issued":{"date-parts":[["2000",1]]}}}],"schema":"https://github.com/citation-style-language/schema/raw/master/csl-citation.json"} </w:instrText>
      </w:r>
      <w:r w:rsidR="00245F4C">
        <w:rPr>
          <w:lang w:val="en-US"/>
        </w:rPr>
        <w:fldChar w:fldCharType="separate"/>
      </w:r>
      <w:r w:rsidR="00E6458E" w:rsidRPr="00E6458E">
        <w:t>(Kingham et al., 2000)</w:t>
      </w:r>
      <w:r w:rsidR="00245F4C">
        <w:rPr>
          <w:lang w:val="en-US"/>
        </w:rPr>
        <w:fldChar w:fldCharType="end"/>
      </w:r>
      <w:r w:rsidR="00245F4C">
        <w:rPr>
          <w:lang w:val="en-US"/>
        </w:rPr>
        <w:t xml:space="preserve">; </w:t>
      </w:r>
      <w:r w:rsidR="00245F4C">
        <w:rPr>
          <w:lang w:val="en-US"/>
        </w:rPr>
        <w:fldChar w:fldCharType="begin"/>
      </w:r>
      <w:r w:rsidR="00E6458E">
        <w:rPr>
          <w:lang w:val="en-US"/>
        </w:rPr>
        <w:instrText xml:space="preserve"> ADDIN ZOTERO_ITEM CSL_CITATION {"citationID":"F9pK190M","properties":{"unsorted":false,"formattedCitation":"(Chen et al., 2026)","plainCitation":"(Chen et al., 2026)","noteIndex":0},"citationItems":[{"id":14898,"uris":["http://zotero.org/users/local/vwAKDnao/items/VIG9VHMY"],"itemData":{"id":14898,"type":"article-journal","abstract":"This study investigated the effects of environmental conditions on polycyclic aromatic hydrocarbon (PAH) emissions from scented candles during combustion. An exposure chamber was established and validated to ensure stability and uniformity before the experiments were conducted. One of the most widely used scented candles (paraffin wax + 6% lavender essential oil) was selected in the present study. Testing environmental conditions included three relative humidity (RH) levels (60%, 75%, and 90%) and three air exchange rates (ACHs) (0.5, 1.0, and 2.0 h−1). For each tested environmental condition, three replicate measurements were conducted. Gas-phase and particle-bound polycyclic aromatic hydrocarbons (PAHs) were collected using filter cassettes and XAD-2 sorbent tubes, respectively. Results showed that, under identical RH conditions, both Ctotal-PAHs and EFtotal-PAHs followed the trend of 0.5 ACH &gt; 2.0 ACH &gt; 1.0 ACH, whereas total-Bapeq and EFTotal-BaPeq values decreased with increasing ACH. While under identical ACH conditions, emissions showed a nonlinear response to RH, following the trend: 75% &gt; 90% &gt; 60%. Most detected PAHs were present in the gaseous phase and were dominated by low-molecular-weight compounds containing two to three aromatic rings. The estimated highest incremental lifetime lung cancer risk reached 1.20 × 10−6 for aromatherapy workers, assuming an exposure duration of 8 h day−1 over 40 years. These findings highlight the potential health risks associated with the use of scented candles and emphasize the importance of adequate ventilation to reduce long-term indoor exposure.","container-title":"Toxics","DOI":"10.3390/toxics14070565","ISSN":"2305-6304","issue":"7","journalAbbreviation":"Toxics","language":"en","page":"565","source":"DOI.org (Crossref)","title":"Emissions of Polycyclic Aromatic Hydrocarbons (PAHs) from the Use of Scented Candles Under Different Environmental Conditions","URL":"https://www.mdpi.com/2305-6304/14/7/565","volume":"14","author":[{"family":"Chen","given":"Chun-Yu"},{"family":"Shih","given":"Chiao-Ling"},{"family":"Kuo","given":"Yu-Chieh"},{"family":"Tsai","given":"Perng-Jy"}],"accessed":{"date-parts":[["2026",8,30]]},"issued":{"date-parts":[["2026",6,27]]}}}],"schema":"https://github.com/citation-style-language/schema/raw/master/csl-citation.json"} </w:instrText>
      </w:r>
      <w:r w:rsidR="00245F4C">
        <w:rPr>
          <w:lang w:val="en-US"/>
        </w:rPr>
        <w:fldChar w:fldCharType="separate"/>
      </w:r>
      <w:r w:rsidR="00E6458E" w:rsidRPr="00E6458E">
        <w:t>(Chen et al., 2026)</w:t>
      </w:r>
      <w:r w:rsidR="00245F4C">
        <w:rPr>
          <w:lang w:val="en-US"/>
        </w:rPr>
        <w:fldChar w:fldCharType="end"/>
      </w:r>
      <w:r w:rsidRPr="00EA23E3">
        <w:t>.</w:t>
      </w:r>
      <w:r>
        <w:rPr>
          <w:lang w:val="en-US"/>
        </w:rPr>
        <w:t xml:space="preserve"> </w:t>
      </w:r>
      <w:r w:rsidRPr="00EA23E3">
        <w:t>In developing countries such as Nigeria, biomass fuels remain the dominant source of domestic energy, particularly in rural communities where access to electricity and cleaner cooking fuels such as liquefied petroleum gas (LPG) is limited or unaffordable</w:t>
      </w:r>
      <w:r w:rsidR="00866B7F">
        <w:rPr>
          <w:lang w:val="en-US"/>
        </w:rPr>
        <w:t xml:space="preserve"> </w:t>
      </w:r>
      <w:r w:rsidR="00866B7F">
        <w:rPr>
          <w:lang w:val="en-US"/>
        </w:rPr>
        <w:fldChar w:fldCharType="begin"/>
      </w:r>
      <w:r w:rsidR="00E6458E">
        <w:rPr>
          <w:lang w:val="en-US"/>
        </w:rPr>
        <w:instrText xml:space="preserve"> ADDIN ZOTERO_ITEM CSL_CITATION {"citationID":"IRg4efnH","properties":{"unsorted":false,"formattedCitation":"(Dhital et al., 2022b)","plainCitation":"(Dhital et al., 2022b)","noteIndex":0},"citationItems":[{"id":14932,"uris":["http://zotero.org/users/local/vwAKDnao/items/U7GM6DG6"],"itemData":{"id":14932,"type":"article-journal","container-title":"Journal of Environmental Management","DOI":"10.1016/j.jenvman.2022.115736","ISSN":"03014797","journalAbbreviation":"Journal of Environmental Management","language":"en","page":"115736","source":"DOI.org (Crossref)","title":"A scientometric analysis of indoor air pollution research during 1990–2019","URL":"https://linkinghub.elsevier.com/retrieve/pii/S0301479722013093","volume":"320","author":[{"family":"Dhital","given":"Sushma"},{"family":"Rupakheti","given":"Dipesh"},{"family":"Rupakheti","given":"Maheswar"},{"family":"Yin","given":"Xiufeng"},{"family":"Liu","given":"Yanli"},{"family":"Mafiana","given":"Joy James"},{"family":"Alareqi","given":"Mohammed Muneer"},{"family":"Mohamednour","given":"Halabia"},{"family":"Zhang","given":"Benzhong"}],"accessed":{"date-parts":[["2026",8,30]]},"issued":{"date-parts":[["2022",10]]}}}],"schema":"https://github.com/citation-style-language/schema/raw/master/csl-citation.json"} </w:instrText>
      </w:r>
      <w:r w:rsidR="00866B7F">
        <w:rPr>
          <w:lang w:val="en-US"/>
        </w:rPr>
        <w:fldChar w:fldCharType="separate"/>
      </w:r>
      <w:r w:rsidR="00E6458E" w:rsidRPr="00E6458E">
        <w:t>(Dhital et al., 2022)</w:t>
      </w:r>
      <w:r w:rsidR="00866B7F">
        <w:rPr>
          <w:lang w:val="en-US"/>
        </w:rPr>
        <w:fldChar w:fldCharType="end"/>
      </w:r>
      <w:r w:rsidR="00866B7F">
        <w:rPr>
          <w:lang w:val="en-US"/>
        </w:rPr>
        <w:t xml:space="preserve">; </w:t>
      </w:r>
      <w:r w:rsidRPr="00EA23E3">
        <w:t>. According to the National Bureau of Statistics (NBS), a substantial proportion of rural Nigerian households rely primarily on firewood for cooking. The dependence on biomass fuels is influenced by poverty, cultural cooking practices, inadequate infrastructure, low awareness of health risks, and the high cost of cleaner energy alternatives.</w:t>
      </w:r>
      <w:r>
        <w:t xml:space="preserve"> </w:t>
      </w:r>
      <w:r w:rsidRPr="00EA23E3">
        <w:t>Bauchi State is among the states in northern Nigeria where biomass fuel use is widespread. In rural communities within Toro Local Government Area, households commonly use firewood, charcoal, and agricultural residues for cooking because these fuels are readily available and inexpensive. Traditional cooking methods often involve three-stone fires or inefficient stoves used inside enclosed kitchens or poorly ventilated rooms</w:t>
      </w:r>
      <w:r w:rsidR="00866B7F">
        <w:rPr>
          <w:lang w:val="en-US"/>
        </w:rPr>
        <w:t xml:space="preserve"> </w:t>
      </w:r>
      <w:r w:rsidR="00866B7F">
        <w:rPr>
          <w:lang w:val="en-US"/>
        </w:rPr>
        <w:fldChar w:fldCharType="begin"/>
      </w:r>
      <w:r w:rsidR="00E6458E">
        <w:rPr>
          <w:lang w:val="en-US"/>
        </w:rPr>
        <w:instrText xml:space="preserve"> ADDIN ZOTERO_ITEM CSL_CITATION {"citationID":"5h1px0MQ","properties":{"unsorted":false,"formattedCitation":"(Rebryk et al., 2024)","plainCitation":"(Rebryk et al., 2024)","noteIndex":0},"citationItems":[{"id":14933,"uris":["http://zotero.org/users/local/vwAKDnao/items/AE5MR8DX"],"itemData":{"id":14933,"type":"article-journal","container-title":"Science of The Total Environment","DOI":"10.1016/j.scitotenv.2024.173183","ISSN":"00489697","journalAbbreviation":"Science of The Total Environment","language":"en","page":"173183","source":"DOI.org (Crossref)","title":"Emission of volatile organic compounds during open fire cooking with wood biomass: Traditional three-stone open fire vs. gasifier cooking stove in rural Kenya","title-short":"Emission of volatile organic compounds during open fire cooking with wood biomass","URL":"https://linkinghub.elsevier.com/retrieve/pii/S0048969724033308","volume":"934","author":[{"family":"Rebryk","given":"Andriy"},{"family":"Kozyatnyk","given":"Ivan"},{"family":"Njenga","given":"Mary"}],"accessed":{"date-parts":[["2026",8,30]]},"issued":{"date-parts":[["2024",7]]}}}],"schema":"https://github.com/citation-style-language/schema/raw/master/csl-citation.json"} </w:instrText>
      </w:r>
      <w:r w:rsidR="00866B7F">
        <w:rPr>
          <w:lang w:val="en-US"/>
        </w:rPr>
        <w:fldChar w:fldCharType="separate"/>
      </w:r>
      <w:r w:rsidR="00E6458E" w:rsidRPr="00E6458E">
        <w:t>(Rebryk et al., 2024)</w:t>
      </w:r>
      <w:r w:rsidR="00866B7F">
        <w:rPr>
          <w:lang w:val="en-US"/>
        </w:rPr>
        <w:fldChar w:fldCharType="end"/>
      </w:r>
      <w:r w:rsidR="00866B7F">
        <w:rPr>
          <w:lang w:val="en-US"/>
        </w:rPr>
        <w:t xml:space="preserve">; </w:t>
      </w:r>
      <w:r w:rsidR="00866B7F">
        <w:rPr>
          <w:lang w:val="en-US"/>
        </w:rPr>
        <w:fldChar w:fldCharType="begin"/>
      </w:r>
      <w:r w:rsidR="00E6458E">
        <w:rPr>
          <w:lang w:val="en-US"/>
        </w:rPr>
        <w:instrText xml:space="preserve"> ADDIN ZOTERO_ITEM CSL_CITATION {"citationID":"GX9tkJDK","properties":{"unsorted":false,"formattedCitation":"(Gitau et al., 2025)","plainCitation":"(Gitau et al., 2025)","noteIndex":0},"citationItems":[{"id":14934,"uris":["http://zotero.org/users/local/vwAKDnao/items/KGWSAVT2"],"itemData":{"id":14934,"type":"article-journal","abstract":"A majority of households in sub-Saharan Africa use inefficient biomass stoves in poorly ventilated kitchens, leading to indoor air pollution. Biomass for cooking can be sustainably sourced from agricultural residues such as prunings from agroforestry. This study assessed biochar-producing gasifier cookstove performance among 150 households in Embu, Kwale, and Siaya Counties through household surveys and participatory cooking tests with 75 households. With the gasifier, carbon monoxide (CO) concentrations were lower in Embu (5.1 ppm), while carbon dioxide (CO2) and fine particulate matter (PM2.5) were lower in Kwale, at 588 ppm and 136 μg/m3, respectively. Compared to the three-stone open fire, reductions in CO and PM2.5 concentrations were highest in Embu, at 82% and 97%, respectively. The biomass-to-char conversion efficiency with the gasifier was 17–18%. If households consider the produced char as a soil amendment, they could save 24–43% of fuel compared to the three-stone open fire; if the char is seen as fuel, the potential savings are 42–65%. Significant differences between the three sites were observed with the gasifier for gross and net fuel use, and for concentrations of PM2.5 and CO2. Gasifier uptake can reduce the need for fuel collection and indoor air pollution, with a positive impact on both the environment and human wellbeing.","container-title":"Sustainability","DOI":"10.3390/su17135872","ISSN":"2071-1050","issue":"13","journalAbbreviation":"Sustainability","language":"en","page":"5872","source":"DOI.org (Crossref)","title":"Comparative Assessment of Gasifier Cookstove Performance on Smallholder Farms in Three Regions in Kenya","URL":"https://www.mdpi.com/2071-1050/17/13/5872","volume":"17","author":[{"family":"Gitau","given":"James Kinyua"},{"family":"Sundberg","given":"Cecilia"},{"family":"Mendum","given":"Ruth"},{"family":"Njenga","given":"Mary"}],"accessed":{"date-parts":[["2026",8,30]]},"issued":{"date-parts":[["2025",6,26]]}}}],"schema":"https://github.com/citation-style-language/schema/raw/master/csl-citation.json"} </w:instrText>
      </w:r>
      <w:r w:rsidR="00866B7F">
        <w:rPr>
          <w:lang w:val="en-US"/>
        </w:rPr>
        <w:fldChar w:fldCharType="separate"/>
      </w:r>
      <w:r w:rsidR="00E6458E" w:rsidRPr="00E6458E">
        <w:t>(Gitau et al., 2025)</w:t>
      </w:r>
      <w:r w:rsidR="00866B7F">
        <w:rPr>
          <w:lang w:val="en-US"/>
        </w:rPr>
        <w:fldChar w:fldCharType="end"/>
      </w:r>
      <w:r w:rsidRPr="00EA23E3">
        <w:t>. Such practices significantly increase indoor concentrations of smoke and toxic pollutants, thereby exposing family members to continuous inhalation of hazardous emissions</w:t>
      </w:r>
      <w:r w:rsidR="00866B7F">
        <w:rPr>
          <w:lang w:val="en-US"/>
        </w:rPr>
        <w:t xml:space="preserve"> </w:t>
      </w:r>
      <w:r w:rsidR="00866B7F">
        <w:rPr>
          <w:lang w:val="en-US"/>
        </w:rPr>
        <w:fldChar w:fldCharType="begin"/>
      </w:r>
      <w:r w:rsidR="00E6458E">
        <w:rPr>
          <w:lang w:val="en-US"/>
        </w:rPr>
        <w:instrText xml:space="preserve"> ADDIN ZOTERO_ITEM CSL_CITATION {"citationID":"KNiaoRP9","properties":{"unsorted":false,"formattedCitation":"(Mukhopadhyay et al., 2012)","plainCitation":"(Mukhopadhyay et al., 2012)","noteIndex":0},"citationItems":[{"id":14935,"uris":["http://zotero.org/users/local/vwAKDnao/items/CNHP7EWE"],"itemData":{"id":14935,"type":"article-journal","container-title":"Global Health Action","DOI":"10.3402/gha.v5i0.19016","ISSN":"1654-9716, 1654-9880","issue":"1","journalAbbreviation":"Global Health Action","language":"en","page":"19016","source":"DOI.org (Crossref)","title":"Cooking practices, air quality, and the acceptability of advanced cookstoves in Haryana, India: an exploratory study to inform large-scale interventions","title-short":"Cooking practices, air quality, and the acceptability of advanced cookstoves in Haryana, India","URL":"https://www.tandfonline.com/doi/full/10.3402/gha.v5i0.19016","volume":"5","author":[{"family":"Mukhopadhyay","given":"Rupak"},{"family":"Sambandam","given":"Sankar"},{"family":"Pillarisetti","given":"Ajay"},{"family":"Jack","given":"Darby"},{"family":"Mukhopadhyay","given":"Krishnendu"},{"family":"Balakrishnan","given":"Kalpana"},{"family":"Vaswani","given":"Mayur"},{"family":"Bates","given":"Michael N."},{"family":"Kinney","given":"PatrickL."},{"family":"Arora","given":"Narendra"},{"family":"Smith","given":"KirkR."}],"accessed":{"date-parts":[["2026",8,30]]},"issued":{"date-parts":[["2012",12]]}}}],"schema":"https://github.com/citation-style-language/schema/raw/master/csl-citation.json"} </w:instrText>
      </w:r>
      <w:r w:rsidR="00866B7F">
        <w:rPr>
          <w:lang w:val="en-US"/>
        </w:rPr>
        <w:fldChar w:fldCharType="separate"/>
      </w:r>
      <w:r w:rsidR="00E6458E" w:rsidRPr="00E6458E">
        <w:t>(Mukhopadhyay et al., 2012)</w:t>
      </w:r>
      <w:r w:rsidR="00866B7F">
        <w:rPr>
          <w:lang w:val="en-US"/>
        </w:rPr>
        <w:fldChar w:fldCharType="end"/>
      </w:r>
      <w:r w:rsidRPr="00EA23E3">
        <w:t>.</w:t>
      </w:r>
    </w:p>
    <w:p w14:paraId="3BA45777" w14:textId="033140C5" w:rsidR="00D10C21" w:rsidRDefault="00D10C21" w:rsidP="00D10C21">
      <w:pPr>
        <w:ind w:firstLine="720"/>
        <w:jc w:val="both"/>
      </w:pPr>
      <w:r w:rsidRPr="00EA23E3">
        <w:t xml:space="preserve">Women and young children are especially vulnerable to indoor air pollution because they are primarily responsible for cooking and household chores. Children are often carried on their </w:t>
      </w:r>
      <w:r w:rsidRPr="00EA23E3">
        <w:lastRenderedPageBreak/>
        <w:t>mothers' backs during cooking, increasing their exposure to smoke at critical stages of lung development. Continuous exposure may result in persistent coughing, wheezing, eye irritation, headaches, breathing difficulties, pneumonia, chronic respiratory diseases, and reduced lung function.</w:t>
      </w:r>
      <w:r>
        <w:t xml:space="preserve"> </w:t>
      </w:r>
      <w:r w:rsidRPr="00EA23E3">
        <w:t>Beyond its health impacts, indoor air pollution also contributes to environmental degradation. Unsustainable harvesting of firewood accelerates deforestation, biodiversity loss, soil erosion, and greenhouse gas emissions, thereby exacerbating climate change. Consequently, reducing dependence on biomass fuels not only improves public health but also promotes environmental sustainability.</w:t>
      </w:r>
      <w:r>
        <w:rPr>
          <w:lang w:val="en-US"/>
        </w:rPr>
        <w:t xml:space="preserve"> </w:t>
      </w:r>
      <w:r w:rsidRPr="00EA23E3">
        <w:t>Despite increased global awareness of household air pollution, many rural communities in Nigeria continue to rely heavily on biomass fuels with limited knowledge of the associated health risks. There is inadequate local evidence regarding the magnitude of indoor air pollution exposure and its relationship with respiratory illnesses among rural households in Toro Local Government Area</w:t>
      </w:r>
      <w:r w:rsidR="00E6458E">
        <w:rPr>
          <w:lang w:val="en-US"/>
        </w:rPr>
        <w:t xml:space="preserve"> </w:t>
      </w:r>
      <w:r w:rsidR="00E6458E">
        <w:rPr>
          <w:lang w:val="en-US"/>
        </w:rPr>
        <w:fldChar w:fldCharType="begin"/>
      </w:r>
      <w:r w:rsidR="00E6458E">
        <w:rPr>
          <w:lang w:val="en-US"/>
        </w:rPr>
        <w:instrText xml:space="preserve"> ADDIN ZOTERO_ITEM CSL_CITATION {"citationID":"bUYXlznB","properties":{"unsorted":false,"formattedCitation":"(Oluwole et al., 2024)","plainCitation":"(Oluwole et al., 2024)","noteIndex":0},"citationItems":[{"id":14945,"uris":["http://zotero.org/users/local/vwAKDnao/items/FXT53DUJ"],"itemData":{"id":14945,"type":"article-journal","abstract":"Poverty reduction and the promotion of sustainable human development are fundamentally dependent on having access to modern energy services. Energy supplies that are dependable, reasonably priced, and sustainable are vital to modern societies. In achieving the sustainable development goals (SDG7) and access to clean energy supplies, this study, using cross-sectional data from 180 randomly sampled rural households, analyzed the key factors determining the choice and intensity of energy sources used for lighting and cooking in rural Nigeria. Both descriptive and inferential statistics (multivariate probit (MVP) and zero-truncated Poisson (ZTP models)) were employed for the analyses. The result showed that there is evidence of fuel stacking in their choice of cooking and lighting energy, and it increases with rising income levels but is more pronounced for lighting than cooking. The result also revealed that reliable access to clean energy (9% of sampled households for LPG and 23% of the households for grid electricity) is very low, as these households still rely on fuelwood (70%) for cooking, but the predominant usage of kerosene (39%) for lighting, as reported in the literature, has drastically changed to dry cell battery (51%). The results using a multivariate probit model to capture the multiple fuel usage phenomenon among rural households show that access to clean energy, improvement in rural poverty, usage of indoor kitchens, household size, and an increase in the education of household heads’ spouses significantly influence the use of clean energy in the rural areas. In the same vein, the result of the ZTP model showed that income, access to energy sources, and occupation of the household head were the drivers of the intensity of cooking and lighting energy sources. Thus, it is recommended that any policy interventions that are targeted at encouraging rural households to use clean energy should start by improving rural access to these clean energy sources, improving their poverty status while also increasing the level of education and awareness of rural women concerning the risks of using dirty energy sources.","container-title":"Sustainability","DOI":"10.3390/su16114556","ISSN":"2071-1050","issue":"11","journalAbbreviation":"Sustainability","language":"en","page":"4556","source":"DOI.org (Crossref)","title":"Drivers of Rural Households’ Choices and Intensity of Sustainable Energy Sources for Cooking and Lighting in Ondo State, Nigeria","URL":"https://www.mdpi.com/2071-1050/16/11/4556","volume":"16","author":[{"family":"Oluwole","given":"Temitope Samuel"},{"family":"Adesiyan","given":"Adewumi Titus"},{"family":"Ojo","given":"Temitope Oluwaseun"},{"family":"Elhindi","given":"Khalid Mohammed"}],"accessed":{"date-parts":[["2026",8,30]]},"issued":{"date-parts":[["2024",5,27]]}}}],"schema":"https://github.com/citation-style-language/schema/raw/master/csl-citation.json"} </w:instrText>
      </w:r>
      <w:r w:rsidR="00E6458E">
        <w:rPr>
          <w:lang w:val="en-US"/>
        </w:rPr>
        <w:fldChar w:fldCharType="separate"/>
      </w:r>
      <w:r w:rsidR="00E6458E" w:rsidRPr="00E6458E">
        <w:t>(Oluwole et al., 2024)</w:t>
      </w:r>
      <w:r w:rsidR="00E6458E">
        <w:rPr>
          <w:lang w:val="en-US"/>
        </w:rPr>
        <w:fldChar w:fldCharType="end"/>
      </w:r>
      <w:r w:rsidRPr="00EA23E3">
        <w:t xml:space="preserve">. </w:t>
      </w:r>
    </w:p>
    <w:p w14:paraId="121101A2" w14:textId="70497437" w:rsidR="00D10C21" w:rsidRDefault="00D10C21" w:rsidP="00D10C21">
      <w:pPr>
        <w:ind w:firstLine="720"/>
        <w:jc w:val="both"/>
      </w:pPr>
      <w:r w:rsidRPr="00EA23E3">
        <w:t>This study therefore seeks to assess indoor air pollution resulting from biomass fuel use and examine its effects on the respiratory health of rural households in Toro Local Government Area, Bauchi State.</w:t>
      </w:r>
      <w:r>
        <w:t xml:space="preserve"> </w:t>
      </w:r>
      <w:r w:rsidRPr="00EA23E3">
        <w:t xml:space="preserve">Indoor air pollution remains one of the most neglected environmental health problems in Nigeria despite its significant contribution to disease burden and premature mortality. </w:t>
      </w:r>
      <w:r>
        <w:t xml:space="preserve"> </w:t>
      </w:r>
      <w:r w:rsidRPr="00EA23E3">
        <w:t>Although several interventions have been introduced to encourage the adoption of cleaner cooking fuels, the majority of rural households continue to depend on biomass fuels such as firewood and charcoal because of poverty, limited access to modern energy</w:t>
      </w:r>
      <w:r w:rsidR="00E6458E">
        <w:rPr>
          <w:lang w:val="en-US"/>
        </w:rPr>
        <w:t xml:space="preserve"> </w:t>
      </w:r>
      <w:r w:rsidR="00E6458E">
        <w:rPr>
          <w:lang w:val="en-US"/>
        </w:rPr>
        <w:fldChar w:fldCharType="begin"/>
      </w:r>
      <w:r w:rsidR="00E6458E">
        <w:rPr>
          <w:lang w:val="en-US"/>
        </w:rPr>
        <w:instrText xml:space="preserve"> ADDIN ZOTERO_ITEM CSL_CITATION {"citationID":"DmeWLesJ","properties":{"unsorted":false,"formattedCitation":"(Balume et al., 2025)","plainCitation":"(Balume et al., 2025)","noteIndex":0},"citationItems":[{"id":14941,"uris":["http://zotero.org/users/local/vwAKDnao/items/LWKS64UF"],"itemData":{"id":14941,"type":"article-journal","container-title":"Renewable and Sustainable Energy Reviews","DOI":"10.1016/j.rser.2025.115745","ISSN":"13640321","journalAbbreviation":"Renewable and Sustainable Energy Reviews","language":"en","page":"115745","source":"DOI.org (Crossref)","title":"Charcoal and firewood use in urban areas of developing countries: Drivers, consequences, and the need for clean cooking solutions","title-short":"Charcoal and firewood use in urban areas of developing countries","URL":"https://linkinghub.elsevier.com/retrieve/pii/S1364032125004186","volume":"217","author":[{"family":"Balume","given":"B.S."},{"family":"Bijnens","given":"L."},{"family":"Abrams","given":"S."},{"family":"Banza","given":"B.B."},{"family":"Deferme","given":"W."}],"accessed":{"date-parts":[["2026",8,30]]},"issued":{"date-parts":[["2025",7]]}}}],"schema":"https://github.com/citation-style-language/schema/raw/master/csl-citation.json"} </w:instrText>
      </w:r>
      <w:r w:rsidR="00E6458E">
        <w:rPr>
          <w:lang w:val="en-US"/>
        </w:rPr>
        <w:fldChar w:fldCharType="separate"/>
      </w:r>
      <w:r w:rsidR="00E6458E" w:rsidRPr="00E6458E">
        <w:t>(Balume et al., 2025)</w:t>
      </w:r>
      <w:r w:rsidR="00E6458E">
        <w:rPr>
          <w:lang w:val="en-US"/>
        </w:rPr>
        <w:fldChar w:fldCharType="end"/>
      </w:r>
      <w:r w:rsidR="00E6458E">
        <w:rPr>
          <w:lang w:val="en-US"/>
        </w:rPr>
        <w:t xml:space="preserve">; </w:t>
      </w:r>
      <w:r w:rsidR="00E6458E">
        <w:rPr>
          <w:lang w:val="en-US"/>
        </w:rPr>
        <w:fldChar w:fldCharType="begin"/>
      </w:r>
      <w:r w:rsidR="00E6458E">
        <w:rPr>
          <w:lang w:val="en-US"/>
        </w:rPr>
        <w:instrText xml:space="preserve"> ADDIN ZOTERO_ITEM CSL_CITATION {"citationID":"0ePSJK9D","properties":{"unsorted":false,"formattedCitation":"(Lartey et al., 2025)","plainCitation":"(Lartey et al., 2025)","noteIndex":0},"citationItems":[{"id":14942,"uris":["http://zotero.org/users/local/vwAKDnao/items/BWBVIXHL"],"itemData":{"id":14942,"type":"article-journal","container-title":"Discover Sustainability","DOI":"10.1007/s43621-025-01853-y","ISSN":"2662-9984","issue":"1","journalAbbreviation":"Discov Sustain","language":"en","page":"1034","source":"DOI.org (Crossref)","title":"Urban and rural households’ awareness and willingness to adopt biomass briquettes in Ghana","URL":"https://link.springer.com/10.1007/s43621-025-01853-y","volume":"6","author":[{"family":"Lartey","given":"Doreen Larkailey"},{"family":"Boafo","given":"Yaw Agyeman"},{"family":"Owusu","given":"Erasmus Henaku"},{"family":"Akrofi","given":"Mark M."}],"accessed":{"date-parts":[["2026",8,30]]},"issued":{"date-parts":[["2025",10,7]]}}}],"schema":"https://github.com/citation-style-language/schema/raw/master/csl-citation.json"} </w:instrText>
      </w:r>
      <w:r w:rsidR="00E6458E">
        <w:rPr>
          <w:lang w:val="en-US"/>
        </w:rPr>
        <w:fldChar w:fldCharType="separate"/>
      </w:r>
      <w:r w:rsidR="00E6458E" w:rsidRPr="00E6458E">
        <w:t>(Lartey et al., 2025)</w:t>
      </w:r>
      <w:r w:rsidR="00E6458E">
        <w:rPr>
          <w:lang w:val="en-US"/>
        </w:rPr>
        <w:fldChar w:fldCharType="end"/>
      </w:r>
      <w:r w:rsidRPr="00EA23E3">
        <w:t>, and traditional cooking practices.</w:t>
      </w:r>
      <w:r>
        <w:t xml:space="preserve"> </w:t>
      </w:r>
      <w:r w:rsidRPr="00EA23E3">
        <w:t>In Toro Local Government Area, cooking with firewood is common among rural households</w:t>
      </w:r>
      <w:r w:rsidR="00E6458E">
        <w:rPr>
          <w:lang w:val="en-US"/>
        </w:rPr>
        <w:t xml:space="preserve"> </w:t>
      </w:r>
      <w:r w:rsidR="00E6458E">
        <w:rPr>
          <w:lang w:val="en-US"/>
        </w:rPr>
        <w:fldChar w:fldCharType="begin"/>
      </w:r>
      <w:r w:rsidR="00E6458E">
        <w:rPr>
          <w:lang w:val="en-US"/>
        </w:rPr>
        <w:instrText xml:space="preserve"> ADDIN ZOTERO_ITEM CSL_CITATION {"citationID":"PTzpXHKj","properties":{"unsorted":false,"formattedCitation":"(Syafnan et al., 2025)","plainCitation":"(Syafnan et al., 2025)","noteIndex":0},"citationItems":[{"id":14946,"uris":["http://zotero.org/users/local/vwAKDnao/items/6HQXEJQA"],"itemData":{"id":14946,"type":"article-journal","abstract":"Early Childhood Education (PAUD) has a strategic role in shaping children's character and cultural identity from an early age. In the midst of increasingly massive globalization, children are increasingly exposed to foreign cultures that can erode their local cultural values. This study aims to analyze the implementation of PAUD curriculum based on local wisdom in the context of formal education and evaluate its impact on strengthening the cultural identity of early childhood. The method used is a literature study by examining various theories, concepts, and relevant previous research results. The results of the analysis show that the integration of local cultural elements such as folklore, regional songs, traditional games, and traditional ceremonies into learning activities can increase children's cultural awareness and shape character based on noble values ​​such as honesty, responsibility, tolerance, and cooperation. The implementation of this curriculum requires careful planning and the involvement of various parties, including educators, parents, traditional leaders, and local communities so that local wisdom values ​​can be optimally internalized in every learning activity. However, the implementation of local wisdom-based curriculum faces various significant challenges, such as limited competence and resources of educators, lack of official guidelines and policy support, minimal involvement of parents and traditional leaders, and competition with the flow of globalization and digital media that distract children. Serious attention is needed from policy makers, adequate teacher training, close collaboration between schools and communities, and the development of learning facilities and infrastructure that support the optimization of this planning.","container-title":"JOURNAL OF DIGITAL LEARNING AND DISTANCE EDUCATION","DOI":"10.56778/jdlde.v4i1.528","ISSN":"2964-6685","issue":"1","journalAbbreviation":"J. Dig. Learning and Dist. Edu","license":"https://creativecommons.org/licenses/by/4.0","page":"1460-1467","source":"DOI.org (Crossref)","title":"Implementation of Local Wisdom-Based Early Childhood Education Curriculum to Improve Early Childhood Cultural Identity","URL":"https://rjupublisher.com/ojs/index.php/JDLDE/article/view/528","volume":"4","author":[{"literal":"Syafnan"},{"literal":"Rizki Hafni Rambe"},{"literal":"Irmayani Pasaribu"}],"accessed":{"date-parts":[["2026",8,30]]},"issued":{"date-parts":[["2025",6,30]]}}}],"schema":"https://github.com/citation-style-language/schema/raw/master/csl-citation.json"} </w:instrText>
      </w:r>
      <w:r w:rsidR="00E6458E">
        <w:rPr>
          <w:lang w:val="en-US"/>
        </w:rPr>
        <w:fldChar w:fldCharType="separate"/>
      </w:r>
      <w:r w:rsidR="00E6458E" w:rsidRPr="00E6458E">
        <w:t>(Syafnan et al., 2025)</w:t>
      </w:r>
      <w:r w:rsidR="00E6458E">
        <w:rPr>
          <w:lang w:val="en-US"/>
        </w:rPr>
        <w:fldChar w:fldCharType="end"/>
      </w:r>
      <w:r w:rsidR="00E6458E">
        <w:rPr>
          <w:lang w:val="en-US"/>
        </w:rPr>
        <w:t xml:space="preserve">; </w:t>
      </w:r>
      <w:r w:rsidR="00E6458E">
        <w:rPr>
          <w:lang w:val="en-US"/>
        </w:rPr>
        <w:fldChar w:fldCharType="begin"/>
      </w:r>
      <w:r w:rsidR="00E6458E">
        <w:rPr>
          <w:lang w:val="en-US"/>
        </w:rPr>
        <w:instrText xml:space="preserve"> ADDIN ZOTERO_ITEM CSL_CITATION {"citationID":"KrGSL4bb","properties":{"unsorted":false,"formattedCitation":"(Alalaq, 2026)","plainCitation":"(Alalaq, 2026)","noteIndex":0},"citationItems":[{"id":14948,"uris":["http://zotero.org/users/local/vwAKDnao/items/P8QWENZ2"],"itemData":{"id":14948,"type":"article-journal","abstract":"Artificial Intelligence (AI) has emerged as a transformative force in research translation within higher education, shifting the paradigm from basic automation to intelligent systems capable of semantic understanding and contextual adaptation. This study explores the applied potentials of AI-driven tools, such as natural language processing (NLP) and deep learning, in facilitating research translation for university students. Unlike traditional machine translation, contemporary AI models understand cognitive structures and cultural nuances, generating outputs consistent with the target language's linguistic context. This paper analyzes how these technologies enhance cross-border academic communication and facilitate access to global knowledge by accelerating multilingual content production and reducing costs. Furthermore, it examines the collaborative human-machine review mechanism as a key factor in improving translation quality. The findings suggest that integrating AI into higher education research practices not only optimizes technical efficiency but also broadens the horizons for studying translation as a complex cognitive process. This study provides insights into how university students can leverage these advancements to bridge linguistic gaps in global academic discourse.","container-title":"JOURNAL OF DIGITAL LEARNING AND DISTANCE EDUCATION","DOI":"10.56778/jdlde.v4i8.637","ISSN":"2964-6685","issue":"8","journalAbbreviation":"J. Dig. Learning and Dist. Edu","license":"https://creativecommons.org/licenses/by/4.0","page":"1835-1844","source":"DOI.org (Crossref)","title":"Artificial Intelligence in Research Translation in Higher Education: Applied Potentials for University Students","title-short":"Artificial Intelligence in Research Translation in Higher Education","URL":"https://rjupublisher.com/ojs/index.php/JDLDE/article/view/637","volume":"4","author":[{"family":"Alalaq","given":"Ahmed Shaker"}],"accessed":{"date-parts":[["2026",8,30]]},"issued":{"date-parts":[["2026",1,27]]}}}],"schema":"https://github.com/citation-style-language/schema/raw/master/csl-citation.json"} </w:instrText>
      </w:r>
      <w:r w:rsidR="00E6458E">
        <w:rPr>
          <w:lang w:val="en-US"/>
        </w:rPr>
        <w:fldChar w:fldCharType="separate"/>
      </w:r>
      <w:r w:rsidR="00E6458E" w:rsidRPr="00E6458E">
        <w:t>(Alalaq, 2026)</w:t>
      </w:r>
      <w:r w:rsidR="00E6458E">
        <w:rPr>
          <w:lang w:val="en-US"/>
        </w:rPr>
        <w:fldChar w:fldCharType="end"/>
      </w:r>
      <w:r w:rsidRPr="00EA23E3">
        <w:t>. Most kitchens are poorly ventilated, allowing smoke to accumulate during cooking. Continuous exposure to smoke from biomass combustion increases the concentration of harmful pollutants such as carbon monoxide and fine particulate matter inside homes. Household members, particularly women, children, and the elderly, inhale these pollutants daily.</w:t>
      </w:r>
      <w:r>
        <w:t xml:space="preserve"> </w:t>
      </w:r>
      <w:r w:rsidRPr="00EA23E3">
        <w:t>Many residents frequently experience symptoms including persistent cough, difficulty breathing, chest pain, eye irritation, wheezing, headaches, and recurrent respiratory infections</w:t>
      </w:r>
      <w:r w:rsidR="00245F4C">
        <w:rPr>
          <w:lang w:val="en-US"/>
        </w:rPr>
        <w:t xml:space="preserve"> </w:t>
      </w:r>
      <w:r w:rsidR="00245F4C">
        <w:rPr>
          <w:lang w:val="en-US"/>
        </w:rPr>
        <w:fldChar w:fldCharType="begin"/>
      </w:r>
      <w:r w:rsidR="00E6458E">
        <w:rPr>
          <w:lang w:val="en-US"/>
        </w:rPr>
        <w:instrText xml:space="preserve"> ADDIN ZOTERO_ITEM CSL_CITATION {"citationID":"CqhMYy3f","properties":{"unsorted":false,"formattedCitation":"(Setia, 2016)","plainCitation":"(Setia, 2016)","noteIndex":0},"citationItems":[{"id":14892,"uris":["http://zotero.org/users/local/vwAKDnao/items/2X4PUZ42"],"itemData":{"id":14892,"type":"article-journal","container-title":"Indian Journal of Dermatology","DOI":"10.4103/0019-5154.182410","ISSN":"0019-5154","issue":"3","journalAbbreviation":"Indian J Dermatol","language":"en","page":"261","source":"DOI.org (Crossref)","title":"Methodology series module 3: Cross-sectional studies","title-short":"Methodology series module 3","URL":"https://www.ovid.com/10.4103/0019-5154.182410","volume":"61","author":[{"family":"Setia","given":"ManinderSingh"}],"accessed":{"date-parts":[["2026",8,30]]},"issued":{"date-parts":[["2016"]]}}}],"schema":"https://github.com/citation-style-language/schema/raw/master/csl-citation.json"} </w:instrText>
      </w:r>
      <w:r w:rsidR="00245F4C">
        <w:rPr>
          <w:lang w:val="en-US"/>
        </w:rPr>
        <w:fldChar w:fldCharType="separate"/>
      </w:r>
      <w:r w:rsidR="00E6458E" w:rsidRPr="00E6458E">
        <w:t>(Setia, 2016)</w:t>
      </w:r>
      <w:r w:rsidR="00245F4C">
        <w:rPr>
          <w:lang w:val="en-US"/>
        </w:rPr>
        <w:fldChar w:fldCharType="end"/>
      </w:r>
      <w:r w:rsidR="00E6458E">
        <w:rPr>
          <w:lang w:val="en-US"/>
        </w:rPr>
        <w:t xml:space="preserve">; </w:t>
      </w:r>
      <w:r w:rsidR="00E6458E">
        <w:rPr>
          <w:lang w:val="en-US"/>
        </w:rPr>
        <w:fldChar w:fldCharType="begin"/>
      </w:r>
      <w:r w:rsidR="00E6458E">
        <w:rPr>
          <w:lang w:val="en-US"/>
        </w:rPr>
        <w:instrText xml:space="preserve"> ADDIN ZOTERO_ITEM CSL_CITATION {"citationID":"5Mqv4ydc","properties":{"unsorted":false,"formattedCitation":"(Tereka et al., 2025)","plainCitation":"(Tereka et al., 2025)","noteIndex":0},"citationItems":[{"id":14944,"uris":["http://zotero.org/users/local/vwAKDnao/items/EC6UWY3G"],"itemData":{"id":14944,"type":"article-journal","container-title":"Energy for Sustainable Development","DOI":"10.1016/j.esd.2025.101780","ISSN":"09730826","journalAbbreviation":"Energy for Sustainable Development","language":"en","page":"101780","source":"DOI.org (Crossref)","title":"Gender and socio-economic determinants of rural household adoption of clean energy practices in Uganda: Implications for energy transition pathways","title-short":"Gender and socio-economic determinants of rural household adoption of clean energy practices in Uganda","URL":"https://linkinghub.elsevier.com/retrieve/pii/S0973082625001309","volume":"88","author":[{"family":"Tereka","given":"Stella"},{"family":"Pétursson","given":"Jon Geir"},{"family":"Byakagaba","given":"Patrick"},{"family":"Ingólfsdóttir","given":"Auður H."}],"accessed":{"date-parts":[["2026",8,30]]},"issued":{"date-parts":[["2025",10]]}}}],"schema":"https://github.com/citation-style-language/schema/raw/master/csl-citation.json"} </w:instrText>
      </w:r>
      <w:r w:rsidR="00E6458E">
        <w:rPr>
          <w:lang w:val="en-US"/>
        </w:rPr>
        <w:fldChar w:fldCharType="separate"/>
      </w:r>
      <w:r w:rsidR="00E6458E" w:rsidRPr="00E6458E">
        <w:t>(Tereka et al., 2025)</w:t>
      </w:r>
      <w:r w:rsidR="00E6458E">
        <w:rPr>
          <w:lang w:val="en-US"/>
        </w:rPr>
        <w:fldChar w:fldCharType="end"/>
      </w:r>
      <w:r w:rsidRPr="00EA23E3">
        <w:t xml:space="preserve">. </w:t>
      </w:r>
    </w:p>
    <w:p w14:paraId="4B8AF1DE" w14:textId="2ABC3A30" w:rsidR="00D10C21" w:rsidRDefault="00D10C21" w:rsidP="00D10C21">
      <w:pPr>
        <w:ind w:firstLine="720"/>
        <w:jc w:val="both"/>
      </w:pPr>
      <w:r w:rsidRPr="00EA23E3">
        <w:t>However, these symptoms are often attributed to seasonal changes or infectious diseases rather than exposure to indoor smoke. Consequently, little attention is given to preventive measures such as improving ventilation or adopting cleaner fuels.</w:t>
      </w:r>
      <w:r>
        <w:t xml:space="preserve"> </w:t>
      </w:r>
      <w:r w:rsidRPr="00EA23E3">
        <w:t>Furthermore, there is limited empirical information regarding the extent of biomass fuel use, household ventilation practices, exposure levels, and respiratory health outcomes among rural households in Toro Local Government Area. The absence of such data makes it difficult for public health authorities to design effective interventions.</w:t>
      </w:r>
      <w:r>
        <w:t xml:space="preserve"> </w:t>
      </w:r>
      <w:r w:rsidRPr="00EA23E3">
        <w:t>Therefore, this study seeks to assess the level of indoor air pollution resulting from biomass fuel use and determine its relationship with respiratory health among rural households in Toro Local Government Area, Bauchi State.</w:t>
      </w:r>
    </w:p>
    <w:p w14:paraId="5031DD80" w14:textId="77777777" w:rsidR="00631BED" w:rsidRDefault="00631BED" w:rsidP="00631BED">
      <w:pPr>
        <w:pStyle w:val="Heading2"/>
        <w:spacing w:before="0" w:after="0"/>
        <w:rPr>
          <w:rFonts w:ascii="Times New Roman" w:hAnsi="Times New Roman" w:cs="Times New Roman"/>
          <w:b w:val="0"/>
          <w:bCs w:val="0"/>
          <w:i w:val="0"/>
          <w:iCs w:val="0"/>
          <w:sz w:val="24"/>
          <w:szCs w:val="24"/>
        </w:rPr>
      </w:pPr>
    </w:p>
    <w:p w14:paraId="280824FD" w14:textId="153292AE" w:rsidR="009625CD" w:rsidRPr="00177D6D" w:rsidRDefault="002A4684" w:rsidP="00631BED">
      <w:pPr>
        <w:pStyle w:val="Heading2"/>
        <w:spacing w:before="0" w:after="0"/>
        <w:rPr>
          <w:rFonts w:ascii="Times New Roman" w:hAnsi="Times New Roman" w:cs="Times New Roman"/>
          <w:i w:val="0"/>
          <w:iCs w:val="0"/>
          <w:sz w:val="24"/>
          <w:szCs w:val="24"/>
          <w:lang w:val="en-US"/>
        </w:rPr>
      </w:pPr>
      <w:r w:rsidRPr="00177D6D">
        <w:rPr>
          <w:rFonts w:ascii="Times New Roman" w:hAnsi="Times New Roman" w:cs="Times New Roman"/>
          <w:i w:val="0"/>
          <w:iCs w:val="0"/>
          <w:sz w:val="24"/>
          <w:szCs w:val="24"/>
          <w:lang w:val="en-US"/>
        </w:rPr>
        <w:t>Method</w:t>
      </w:r>
    </w:p>
    <w:p w14:paraId="33377C6B" w14:textId="77777777" w:rsidR="004B2F78" w:rsidRPr="00177D6D" w:rsidRDefault="004B2F78" w:rsidP="004B2F78"/>
    <w:p w14:paraId="19ED1233" w14:textId="3EC8A3B7" w:rsidR="00644A88" w:rsidRPr="001111EF" w:rsidRDefault="00644A88" w:rsidP="00644A88">
      <w:pPr>
        <w:ind w:firstLine="720"/>
        <w:jc w:val="both"/>
      </w:pPr>
      <w:r w:rsidRPr="001111EF">
        <w:t>The study was conducted in Toro Local Government Area (LGA) of Bauchi State, located in the North-East geopolitical zone of Nigeria. Toro LGA is one of the twenty local government areas in Bauchi State and serves as an important agricultural and commercial area within the state. The headquarters of the local government is situated in Toro town, which functions as the administrative and economic Centre of the area.</w:t>
      </w:r>
      <w:r>
        <w:rPr>
          <w:lang w:val="en-US"/>
        </w:rPr>
        <w:t xml:space="preserve"> </w:t>
      </w:r>
      <w:r w:rsidRPr="001111EF">
        <w:t>Toro Local Government Area lies approximately between Latitude 10°00′N and 11°30′N and Longitude 8°30′E and 9°30′E. It shares boundaries with Jos East and Barkin Ladi Local Government Areas of Plateau State to the west, Tafawa Balewa Local Government Area to the south, Bauchi and Dass Local Government Areas to the east, and Jama'are and Ganjuwa Local Government Areas to the north. The strategic location of Toro makes it an important link between Bauchi State and Plateau State.</w:t>
      </w:r>
    </w:p>
    <w:p w14:paraId="36DFDF3B" w14:textId="77777777" w:rsidR="00644A88" w:rsidRDefault="00644A88" w:rsidP="00644A88">
      <w:pPr>
        <w:ind w:firstLine="720"/>
        <w:jc w:val="both"/>
      </w:pPr>
      <w:r w:rsidRPr="001111EF">
        <w:lastRenderedPageBreak/>
        <w:t>The local government occupies a large land area characterized by undulating plains, scattered hills, and rocky outcrops associated with the northern extension of the Jos Plateau. The climate is tropical, with two distinct seasons: the rainy season, which usually extends from May to October, and the dry season, which lasts from November to April. Annual rainfall ranges between approximately 900 mm and 1,300 mm, while average temperatures vary between 20°C and 35°C, depending on the season. Relative humidity is generally higher during the rainy season and lower during the dry season.</w:t>
      </w:r>
      <w:r>
        <w:t xml:space="preserve"> </w:t>
      </w:r>
      <w:r w:rsidRPr="00A94AC9">
        <w:t xml:space="preserve">According to projections based on the </w:t>
      </w:r>
      <w:r w:rsidRPr="001111EF">
        <w:t>2006 National Population Census,</w:t>
      </w:r>
      <w:r w:rsidRPr="00A94AC9">
        <w:t xml:space="preserve"> Toro LGA has experienced substantial population growth. The population consists predominantly of rural communities engaged in farming, livestock production, petty trading, and other small-scale economic activities. Major ethnic groups include the Fulani, Jarawa, Sayawa, Hausa, and several other indigenous communities, each contributing to the area's cultural diversity. Islam and Christianity are the dominant religions practiced within the local government.</w:t>
      </w:r>
    </w:p>
    <w:p w14:paraId="669D541E" w14:textId="77777777" w:rsidR="00644A88" w:rsidRDefault="00644A88" w:rsidP="00644A88">
      <w:pPr>
        <w:outlineLvl w:val="0"/>
        <w:rPr>
          <w:rFonts w:eastAsia="Times New Roman"/>
          <w:b/>
          <w:bCs/>
          <w:kern w:val="36"/>
          <w:lang w:val="en-US"/>
        </w:rPr>
      </w:pPr>
    </w:p>
    <w:p w14:paraId="4583B6D2" w14:textId="553ED5CF" w:rsidR="00644A88" w:rsidRPr="00644A88" w:rsidRDefault="00644A88" w:rsidP="00644A88">
      <w:pPr>
        <w:outlineLvl w:val="0"/>
        <w:rPr>
          <w:rFonts w:eastAsia="Times New Roman"/>
          <w:i/>
          <w:iCs/>
          <w:kern w:val="36"/>
        </w:rPr>
      </w:pPr>
      <w:r w:rsidRPr="00644A88">
        <w:rPr>
          <w:rFonts w:eastAsia="Times New Roman"/>
          <w:i/>
          <w:iCs/>
          <w:kern w:val="36"/>
        </w:rPr>
        <w:t>Research Design</w:t>
      </w:r>
    </w:p>
    <w:p w14:paraId="1FB30C89" w14:textId="49407A13" w:rsidR="00D10C21" w:rsidRDefault="00644A88" w:rsidP="00644A88">
      <w:pPr>
        <w:ind w:firstLine="720"/>
        <w:jc w:val="both"/>
        <w:rPr>
          <w:rFonts w:eastAsia="Times New Roman"/>
        </w:rPr>
      </w:pPr>
      <w:r w:rsidRPr="00A94AC9">
        <w:rPr>
          <w:rFonts w:eastAsia="Times New Roman"/>
        </w:rPr>
        <w:t xml:space="preserve">The study adopted a </w:t>
      </w:r>
      <w:r w:rsidRPr="00240168">
        <w:rPr>
          <w:rFonts w:eastAsia="Times New Roman"/>
        </w:rPr>
        <w:t>descriptive cross-sectional research design</w:t>
      </w:r>
      <w:r w:rsidRPr="00A94AC9">
        <w:rPr>
          <w:rFonts w:eastAsia="Times New Roman"/>
        </w:rPr>
        <w:t xml:space="preserve"> to assess indoor air pollution from biomass fuel use and its effects on respiratory health among rural households in Toro Local Government Area (LGA) of Bauchi State. A descriptive cross-sectional design involves collecting data from a defined population at a single point in time to describe existing conditions and examine relationships among variables without manipulating the study environment </w:t>
      </w:r>
      <w:r w:rsidR="00866B7F">
        <w:rPr>
          <w:rFonts w:eastAsia="Times New Roman"/>
        </w:rPr>
        <w:fldChar w:fldCharType="begin"/>
      </w:r>
      <w:r w:rsidR="00E6458E">
        <w:rPr>
          <w:rFonts w:eastAsia="Times New Roman"/>
        </w:rPr>
        <w:instrText xml:space="preserve"> ADDIN ZOTERO_ITEM CSL_CITATION {"citationID":"32YxLjHK","properties":{"unsorted":false,"formattedCitation":"(Abah et al., 2026)","plainCitation":"(Abah et al., 2026)","noteIndex":0},"citationItems":[{"id":14936,"uris":["http://zotero.org/users/local/vwAKDnao/items/KQBUUGIX"],"itemData":{"id":14936,"type":"article-journal","container-title":"Discover Health Systems","DOI":"10.1007/s44250-026-00379-y","ISSN":"2731-7501","issue":"1","journalAbbreviation":"Discov Health Systems","language":"en","page":"36","source":"DOI.org (Crossref)","title":"Parental knowledge, attitudes, and sociocultural determinants of childhood immunization uptake in Azare, Bauchi state, Nigeria: a cross-sectional study","title-short":"Parental knowledge, attitudes, and sociocultural determinants of childhood immunization uptake in Azare, Bauchi state, Nigeria","URL":"https://link.springer.com/10.1007/s44250-026-00379-y","volume":"5","author":[{"family":"Abah","given":"Elaigwu"},{"family":"Garkuwa","given":"Usman Adamu"},{"family":"Ejeh","given":"Stephen"}],"accessed":{"date-parts":[["2026",8,30]]},"issued":{"date-parts":[["2026",4,29]]}}}],"schema":"https://github.com/citation-style-language/schema/raw/master/csl-citation.json"} </w:instrText>
      </w:r>
      <w:r w:rsidR="00866B7F">
        <w:rPr>
          <w:rFonts w:eastAsia="Times New Roman"/>
        </w:rPr>
        <w:fldChar w:fldCharType="separate"/>
      </w:r>
      <w:r w:rsidR="00E6458E" w:rsidRPr="00E6458E">
        <w:t>(Abah et al., 2026)</w:t>
      </w:r>
      <w:r w:rsidR="00866B7F">
        <w:rPr>
          <w:rFonts w:eastAsia="Times New Roman"/>
        </w:rPr>
        <w:fldChar w:fldCharType="end"/>
      </w:r>
      <w:r w:rsidR="00866B7F">
        <w:rPr>
          <w:rFonts w:eastAsia="Times New Roman"/>
          <w:lang w:val="en-US"/>
        </w:rPr>
        <w:t xml:space="preserve">; </w:t>
      </w:r>
      <w:r w:rsidR="00866B7F">
        <w:rPr>
          <w:rFonts w:eastAsia="Times New Roman"/>
          <w:lang w:val="en-US"/>
        </w:rPr>
        <w:fldChar w:fldCharType="begin"/>
      </w:r>
      <w:r w:rsidR="00E6458E">
        <w:rPr>
          <w:rFonts w:eastAsia="Times New Roman"/>
          <w:lang w:val="en-US"/>
        </w:rPr>
        <w:instrText xml:space="preserve"> ADDIN ZOTERO_ITEM CSL_CITATION {"citationID":"TWjJkz5L","properties":{"unsorted":false,"formattedCitation":"(Muhammad et al., 2025)","plainCitation":"(Muhammad et al., 2025)","noteIndex":0},"citationItems":[{"id":14938,"uris":["http://zotero.org/users/local/vwAKDnao/items/7NTACHZV"],"itemData":{"id":14938,"type":"article-journal","container-title":"Cogent Business &amp; Management","DOI":"10.1080/23311975.2025.2450297","ISSN":"2331-1975","issue":"1","journalAbbreviation":"Cogent Business &amp; Management","language":"en","page":"2450297","source":"DOI.org (Crossref)","title":"Mediating effect of appraisal fairness between the relationship of appraisal satisfaction and employee performance appraisal: a case of Bauchi State Teachers Service Commission, Nigeria","title-short":"Mediating effect of appraisal fairness between the relationship of appraisal satisfaction and employee performance appraisal","URL":"https://www.tandfonline.com/doi/full/10.1080/23311975.2025.2450297","volume":"12","author":[{"family":"Muhammad","given":"Musa"},{"family":"Suleiman","given":"Wasilu"},{"family":"Mamun","given":"Mohammad Abdullah Al"},{"family":"Jewel","given":"Rasel Mahmud"},{"family":"Mozumder","given":"Md Abu Sufian"}],"accessed":{"date-parts":[["2026",8,30]]},"issued":{"date-parts":[["2025",12,12]]}}}],"schema":"https://github.com/citation-style-language/schema/raw/master/csl-citation.json"} </w:instrText>
      </w:r>
      <w:r w:rsidR="00866B7F">
        <w:rPr>
          <w:rFonts w:eastAsia="Times New Roman"/>
          <w:lang w:val="en-US"/>
        </w:rPr>
        <w:fldChar w:fldCharType="separate"/>
      </w:r>
      <w:r w:rsidR="00E6458E" w:rsidRPr="00E6458E">
        <w:t>(Muhammad et al., 2025)</w:t>
      </w:r>
      <w:r w:rsidR="00866B7F">
        <w:rPr>
          <w:rFonts w:eastAsia="Times New Roman"/>
          <w:lang w:val="en-US"/>
        </w:rPr>
        <w:fldChar w:fldCharType="end"/>
      </w:r>
      <w:r w:rsidR="00866B7F">
        <w:rPr>
          <w:rFonts w:eastAsia="Times New Roman"/>
          <w:lang w:val="en-US"/>
        </w:rPr>
        <w:t xml:space="preserve">. </w:t>
      </w:r>
      <w:r w:rsidRPr="00A94AC9">
        <w:rPr>
          <w:rFonts w:eastAsia="Times New Roman"/>
        </w:rPr>
        <w:t>This design was considered appropriate because it enables the researcher to determine the prevalence of biomass fuel use, assess the level of exposure to indoor air pollutants, identify respiratory health symptoms among household members, and examine associations between household cooking practices and respiratory health outcomes. The design also allows data to be collected from a relatively large number of respondents within a limited period, making it cost-effective and suitable for community-based environmental health research.</w:t>
      </w:r>
      <w:r>
        <w:rPr>
          <w:rFonts w:eastAsia="Times New Roman"/>
        </w:rPr>
        <w:t xml:space="preserve"> </w:t>
      </w:r>
      <w:r w:rsidRPr="00A94AC9">
        <w:rPr>
          <w:rFonts w:eastAsia="Times New Roman"/>
        </w:rPr>
        <w:t>The descriptive component of the study provided information on the socioeconomic characteristics of respondents, household cooking practices, housing characteristics, ventilation conditions, and types of biomass fuels used. The analytical component examined relationships between biomass fuel use and reported respiratory symptoms among household members</w:t>
      </w:r>
      <w:r w:rsidR="00866B7F">
        <w:rPr>
          <w:rFonts w:eastAsia="Times New Roman"/>
          <w:lang w:val="en-US"/>
        </w:rPr>
        <w:t xml:space="preserve"> </w:t>
      </w:r>
      <w:r w:rsidR="00866B7F">
        <w:rPr>
          <w:rFonts w:eastAsia="Times New Roman"/>
          <w:lang w:val="en-US"/>
        </w:rPr>
        <w:fldChar w:fldCharType="begin"/>
      </w:r>
      <w:r w:rsidR="00E6458E">
        <w:rPr>
          <w:rFonts w:eastAsia="Times New Roman"/>
          <w:lang w:val="en-US"/>
        </w:rPr>
        <w:instrText xml:space="preserve"> ADDIN ZOTERO_ITEM CSL_CITATION {"citationID":"8G8HuPcz","properties":{"unsorted":false,"formattedCitation":"(Ori et al., 2021)","plainCitation":"(Ori et al., 2021)","noteIndex":0},"citationItems":[{"id":14939,"uris":["http://zotero.org/users/local/vwAKDnao/items/SM98ZJRL"],"itemData":{"id":14939,"type":"article-journal","abstract":"Abstract\n            \n              Background\n              Measles accounts for high morbidity and mortality in children, especially in developing countries. In 2017, about 11,190 measles cases were recorded in Nigeria, including Bauchi State. The aim of this study was to describe the trend and burden of measles in Bauchi State, Nigeria.\n            \n            \n              Method\n              We analyzed secondary data of measles cases extracted from the Measles Surveillance data system in Bauchi State from January 2013 to June 2018. The variables extracted included age, sex, doses of vaccination, case location and outcome. Data were analyzed using descriptive statistics, logistic regression, and multiplicative time series model (α = 0.05).\n            \n            \n              Results\n              A total of 4935 suspected measles cases with an average annual incidence rate of 15.3 per 100,000 population and 57 deaths (Case Fatality Rate, CFR: 1.15%) were reported. Among the reported cases, 294 (6%;) were laboratory-confirmed, while clinically compatible and epi-linked cases were 402 (8%) and 3879 (70%), respectively. Of the 4935 measles cases, 2576 (52%) were males, 440 (9%) were under 1 year of age, and 3289 (67%) were between 1 and 4 years. The average annual incidence rate among the 1–4 year age-group was 70.3 per 100,000 population. The incidence rate was lowest in 2018 with 2.1 per 100,000 and highest in 2015 with 26.2 per 100,000 population. The measles cases variation index per quarter was highest in quarter 1 (198.86), followed by quarter 2 (62.21) and least in quarter 4 (10.37) of every year. Only 889 (18%) of the measles cases received at least one dose of measles vaccine, 2701 (54.7%) had no history of measles vaccination while 1346 (27.3%) had unknown vaccination status. The fatality of measles in Bauchi State were significantly associated with being under 5 years (AOR = 5.58; 95%CI: 2.19–14.22) and not having at least a dose of MCV (OR = 7.14; 95%CI: 3.70–14.29).\n            \n            \n              Conclusion\n              Measles burden remains high in Bauchi State despite a decrease in its incidence over the study years. Most of the cases occurred in the first quarter of every year. Improved routine measles surveillance for prompt case management could reduce the burden of the disease in Bauchi State.","container-title":"BMC Public Health","DOI":"10.1186/s12889-021-11063-6","ISSN":"1471-2458","issue":"1","journalAbbreviation":"BMC Public Health","language":"en","page":"1311","source":"DOI.org (Crossref)","title":"Descriptive epidemiology of measles cases in Bauchi State, 2013–2018","URL":"https://bmcpublichealth.biomedcentral.com/articles/10.1186/s12889-021-11063-6","volume":"21","author":[{"family":"Ori","given":"Polycarp Uchechukwu"},{"family":"Adebowale","given":"Ayo"},{"family":"Umeokonkwo","given":"Chukwuma David"},{"family":"Osigwe","given":"Ugochukwu"},{"family":"Balogun","given":"Muhammad Shakir"}],"accessed":{"date-parts":[["2026",8,30]]},"issued":{"date-parts":[["2021",12]]}}}],"schema":"https://github.com/citation-style-language/schema/raw/master/csl-citation.json"} </w:instrText>
      </w:r>
      <w:r w:rsidR="00866B7F">
        <w:rPr>
          <w:rFonts w:eastAsia="Times New Roman"/>
          <w:lang w:val="en-US"/>
        </w:rPr>
        <w:fldChar w:fldCharType="separate"/>
      </w:r>
      <w:r w:rsidR="00E6458E" w:rsidRPr="00E6458E">
        <w:t>(Ori et al., 2021)</w:t>
      </w:r>
      <w:r w:rsidR="00866B7F">
        <w:rPr>
          <w:rFonts w:eastAsia="Times New Roman"/>
          <w:lang w:val="en-US"/>
        </w:rPr>
        <w:fldChar w:fldCharType="end"/>
      </w:r>
      <w:r w:rsidRPr="00A94AC9">
        <w:rPr>
          <w:rFonts w:eastAsia="Times New Roman"/>
        </w:rPr>
        <w:t>.</w:t>
      </w:r>
      <w:r>
        <w:rPr>
          <w:rFonts w:eastAsia="Times New Roman"/>
        </w:rPr>
        <w:t xml:space="preserve"> </w:t>
      </w:r>
    </w:p>
    <w:p w14:paraId="69096EB4" w14:textId="7F028B9D" w:rsidR="00644A88" w:rsidRDefault="00644A88" w:rsidP="00644A88">
      <w:pPr>
        <w:ind w:firstLine="720"/>
        <w:jc w:val="both"/>
        <w:rPr>
          <w:rFonts w:eastAsia="Times New Roman"/>
        </w:rPr>
      </w:pPr>
      <w:r w:rsidRPr="00A94AC9">
        <w:rPr>
          <w:rFonts w:eastAsia="Times New Roman"/>
        </w:rPr>
        <w:t>A cross-sectional approach was selected because it allows simultaneous measurement of both exposure (biomass fuel use) and outcome (respiratory health status). Although the design cannot establish causal relationships, it is appropriate for estimating prevalence and identifying potential risk factors that may require further investigation through longitudinal or experimental studies (Setia, 2016).</w:t>
      </w:r>
      <w:r>
        <w:rPr>
          <w:rFonts w:eastAsia="Times New Roman"/>
        </w:rPr>
        <w:t xml:space="preserve"> </w:t>
      </w:r>
      <w:r w:rsidRPr="00A94AC9">
        <w:rPr>
          <w:rFonts w:eastAsia="Times New Roman"/>
        </w:rPr>
        <w:t xml:space="preserve">The study employed a </w:t>
      </w:r>
      <w:r w:rsidRPr="00240168">
        <w:rPr>
          <w:rFonts w:eastAsia="Times New Roman"/>
        </w:rPr>
        <w:t>quantitative research approach</w:t>
      </w:r>
      <w:r w:rsidRPr="00A94AC9">
        <w:rPr>
          <w:rFonts w:eastAsia="Times New Roman"/>
        </w:rPr>
        <w:t>, using structured questionnaires and observational checklists to collect primary data from respondents. Quantitative methods provide numerical data that can be statistically analyzed to summarize findings, compare variables, and test hypotheses. Secondary information obtained from published literature, government reports, and international organizations complemented the primary data and provided contextual information on household air pollution and respiratory health.</w:t>
      </w:r>
      <w:r>
        <w:rPr>
          <w:rFonts w:eastAsia="Times New Roman"/>
        </w:rPr>
        <w:t xml:space="preserve">  </w:t>
      </w:r>
    </w:p>
    <w:p w14:paraId="01B81D01" w14:textId="77777777" w:rsidR="00223E2E" w:rsidRPr="00177D6D" w:rsidRDefault="00223E2E" w:rsidP="00223E2E">
      <w:pPr>
        <w:pStyle w:val="BodyText"/>
        <w:tabs>
          <w:tab w:val="left" w:pos="0"/>
        </w:tabs>
        <w:ind w:right="3"/>
        <w:jc w:val="both"/>
      </w:pPr>
    </w:p>
    <w:p w14:paraId="31FD1505" w14:textId="3A33AF54" w:rsidR="004B2F78" w:rsidRPr="00177D6D" w:rsidRDefault="002970F5" w:rsidP="000C3C85">
      <w:pPr>
        <w:rPr>
          <w:rFonts w:eastAsia="Times New Roman"/>
          <w:b/>
          <w:bCs/>
        </w:rPr>
      </w:pPr>
      <w:r w:rsidRPr="00177D6D">
        <w:rPr>
          <w:rFonts w:eastAsia="Times New Roman"/>
          <w:b/>
          <w:bCs/>
        </w:rPr>
        <w:t xml:space="preserve">Results </w:t>
      </w:r>
    </w:p>
    <w:p w14:paraId="07F4F11C" w14:textId="77777777" w:rsidR="002970F5" w:rsidRPr="00177D6D" w:rsidRDefault="002970F5" w:rsidP="000C3C85"/>
    <w:p w14:paraId="4656CFB6" w14:textId="67115331" w:rsidR="00A82A47" w:rsidRDefault="00A82A47" w:rsidP="00A82A47">
      <w:pPr>
        <w:ind w:firstLine="720"/>
        <w:jc w:val="both"/>
        <w:rPr>
          <w:rFonts w:eastAsia="Times New Roman"/>
        </w:rPr>
      </w:pPr>
      <w:r w:rsidRPr="00A82A47">
        <w:rPr>
          <w:rFonts w:eastAsia="Times New Roman"/>
        </w:rPr>
        <w:t>This chapter presents the analysis of data collected from 422 respondents. Data are presented using frequency distribution tables, percentages, cross-tabulations, and inferential statistics. The findings are discussed in relation to the objectives of the study.</w:t>
      </w:r>
    </w:p>
    <w:p w14:paraId="1EB159D7" w14:textId="77777777" w:rsidR="00A82A47" w:rsidRPr="00A82A47" w:rsidRDefault="00A82A47" w:rsidP="00A82A47">
      <w:pPr>
        <w:ind w:firstLine="720"/>
        <w:jc w:val="both"/>
        <w:rPr>
          <w:rFonts w:eastAsia="Times New Roman"/>
        </w:rPr>
      </w:pPr>
    </w:p>
    <w:p w14:paraId="5AF49963" w14:textId="77777777" w:rsidR="0040106C" w:rsidRDefault="0040106C" w:rsidP="00A82A47">
      <w:pPr>
        <w:jc w:val="both"/>
        <w:rPr>
          <w:rFonts w:eastAsia="Times New Roman"/>
          <w:i/>
          <w:iCs/>
          <w:kern w:val="36"/>
        </w:rPr>
      </w:pPr>
    </w:p>
    <w:p w14:paraId="3AE40E94" w14:textId="77777777" w:rsidR="0040106C" w:rsidRDefault="0040106C" w:rsidP="00A82A47">
      <w:pPr>
        <w:jc w:val="both"/>
        <w:rPr>
          <w:rFonts w:eastAsia="Times New Roman"/>
          <w:i/>
          <w:iCs/>
          <w:kern w:val="36"/>
        </w:rPr>
      </w:pPr>
    </w:p>
    <w:p w14:paraId="0B6B598E" w14:textId="237D97A4" w:rsidR="00A82A47" w:rsidRPr="00A82A47" w:rsidRDefault="00A82A47" w:rsidP="00A82A47">
      <w:pPr>
        <w:jc w:val="both"/>
        <w:rPr>
          <w:rFonts w:eastAsia="Times New Roman"/>
          <w:i/>
          <w:iCs/>
        </w:rPr>
      </w:pPr>
      <w:r w:rsidRPr="00A82A47">
        <w:rPr>
          <w:rFonts w:eastAsia="Times New Roman"/>
          <w:i/>
          <w:iCs/>
          <w:kern w:val="36"/>
        </w:rPr>
        <w:lastRenderedPageBreak/>
        <w:t>Response Rate</w:t>
      </w:r>
    </w:p>
    <w:p w14:paraId="3057474C" w14:textId="1846D7E5" w:rsidR="00A82A47" w:rsidRPr="00A82A47" w:rsidRDefault="00A82A47" w:rsidP="00A82A47">
      <w:pPr>
        <w:jc w:val="center"/>
        <w:outlineLvl w:val="2"/>
        <w:rPr>
          <w:rFonts w:eastAsia="Times New Roman"/>
        </w:rPr>
      </w:pPr>
      <w:r w:rsidRPr="00A82A47">
        <w:rPr>
          <w:rFonts w:eastAsia="Times New Roman"/>
        </w:rPr>
        <w:t>Table 2</w:t>
      </w:r>
      <w:r>
        <w:rPr>
          <w:rFonts w:eastAsia="Times New Roman"/>
          <w:lang w:val="en-US"/>
        </w:rPr>
        <w:t>.</w:t>
      </w:r>
      <w:r w:rsidRPr="00A82A47">
        <w:rPr>
          <w:rFonts w:eastAsia="Times New Roman"/>
        </w:rPr>
        <w:t xml:space="preserve">  Response Rate</w:t>
      </w:r>
    </w:p>
    <w:tbl>
      <w:tblPr>
        <w:tblW w:w="9378" w:type="dxa"/>
        <w:jc w:val="center"/>
        <w:tblCellSpacing w:w="15" w:type="dxa"/>
        <w:tblCellMar>
          <w:top w:w="15" w:type="dxa"/>
          <w:left w:w="15" w:type="dxa"/>
          <w:bottom w:w="15" w:type="dxa"/>
          <w:right w:w="15" w:type="dxa"/>
        </w:tblCellMar>
        <w:tblLook w:val="04A0" w:firstRow="1" w:lastRow="0" w:firstColumn="1" w:lastColumn="0" w:noHBand="0" w:noVBand="1"/>
      </w:tblPr>
      <w:tblGrid>
        <w:gridCol w:w="3960"/>
        <w:gridCol w:w="3870"/>
        <w:gridCol w:w="1548"/>
      </w:tblGrid>
      <w:tr w:rsidR="00A82A47" w:rsidRPr="00A82A47" w14:paraId="3B50AD97" w14:textId="77777777" w:rsidTr="0075339A">
        <w:trPr>
          <w:tblHeader/>
          <w:tblCellSpacing w:w="15" w:type="dxa"/>
          <w:jc w:val="center"/>
        </w:trPr>
        <w:tc>
          <w:tcPr>
            <w:tcW w:w="3915" w:type="dxa"/>
            <w:tcBorders>
              <w:top w:val="single" w:sz="4" w:space="0" w:color="auto"/>
            </w:tcBorders>
            <w:vAlign w:val="center"/>
            <w:hideMark/>
          </w:tcPr>
          <w:p w14:paraId="1F56F69E" w14:textId="77777777" w:rsidR="00A82A47" w:rsidRPr="00A82A47" w:rsidRDefault="00A82A47" w:rsidP="0075339A">
            <w:pPr>
              <w:jc w:val="both"/>
              <w:rPr>
                <w:rFonts w:eastAsia="Times New Roman"/>
              </w:rPr>
            </w:pPr>
            <w:r w:rsidRPr="00A82A47">
              <w:rPr>
                <w:rFonts w:eastAsia="Times New Roman"/>
              </w:rPr>
              <w:t>Response</w:t>
            </w:r>
          </w:p>
        </w:tc>
        <w:tc>
          <w:tcPr>
            <w:tcW w:w="3840" w:type="dxa"/>
            <w:tcBorders>
              <w:top w:val="single" w:sz="4" w:space="0" w:color="auto"/>
            </w:tcBorders>
            <w:vAlign w:val="center"/>
            <w:hideMark/>
          </w:tcPr>
          <w:p w14:paraId="663FD43A" w14:textId="77777777" w:rsidR="00A82A47" w:rsidRPr="00A82A47" w:rsidRDefault="00A82A47" w:rsidP="0075339A">
            <w:pPr>
              <w:jc w:val="both"/>
              <w:rPr>
                <w:rFonts w:eastAsia="Times New Roman"/>
              </w:rPr>
            </w:pPr>
            <w:r w:rsidRPr="00A82A47">
              <w:rPr>
                <w:rFonts w:eastAsia="Times New Roman"/>
              </w:rPr>
              <w:t>Frequency</w:t>
            </w:r>
          </w:p>
        </w:tc>
        <w:tc>
          <w:tcPr>
            <w:tcW w:w="0" w:type="auto"/>
            <w:tcBorders>
              <w:top w:val="single" w:sz="4" w:space="0" w:color="auto"/>
            </w:tcBorders>
            <w:vAlign w:val="center"/>
            <w:hideMark/>
          </w:tcPr>
          <w:p w14:paraId="39BDA431" w14:textId="77777777" w:rsidR="00A82A47" w:rsidRPr="00A82A47" w:rsidRDefault="00A82A47" w:rsidP="0075339A">
            <w:pPr>
              <w:jc w:val="both"/>
              <w:rPr>
                <w:rFonts w:eastAsia="Times New Roman"/>
              </w:rPr>
            </w:pPr>
            <w:r w:rsidRPr="00A82A47">
              <w:rPr>
                <w:rFonts w:eastAsia="Times New Roman"/>
              </w:rPr>
              <w:t>Percentage (%)</w:t>
            </w:r>
          </w:p>
        </w:tc>
      </w:tr>
      <w:tr w:rsidR="00A82A47" w:rsidRPr="00A82A47" w14:paraId="239C9838" w14:textId="77777777" w:rsidTr="0075339A">
        <w:trPr>
          <w:tblCellSpacing w:w="15" w:type="dxa"/>
          <w:jc w:val="center"/>
        </w:trPr>
        <w:tc>
          <w:tcPr>
            <w:tcW w:w="3915" w:type="dxa"/>
            <w:tcBorders>
              <w:top w:val="single" w:sz="4" w:space="0" w:color="auto"/>
            </w:tcBorders>
            <w:vAlign w:val="center"/>
            <w:hideMark/>
          </w:tcPr>
          <w:p w14:paraId="21203FC4" w14:textId="77777777" w:rsidR="00A82A47" w:rsidRPr="00A82A47" w:rsidRDefault="00A82A47" w:rsidP="0075339A">
            <w:pPr>
              <w:jc w:val="both"/>
              <w:rPr>
                <w:rFonts w:eastAsia="Times New Roman"/>
              </w:rPr>
            </w:pPr>
            <w:r w:rsidRPr="00A82A47">
              <w:rPr>
                <w:rFonts w:eastAsia="Times New Roman"/>
              </w:rPr>
              <w:t>Questionnaires Distributed</w:t>
            </w:r>
          </w:p>
        </w:tc>
        <w:tc>
          <w:tcPr>
            <w:tcW w:w="3840" w:type="dxa"/>
            <w:tcBorders>
              <w:top w:val="single" w:sz="4" w:space="0" w:color="auto"/>
            </w:tcBorders>
            <w:vAlign w:val="center"/>
            <w:hideMark/>
          </w:tcPr>
          <w:p w14:paraId="6D3B07BC" w14:textId="77777777" w:rsidR="00A82A47" w:rsidRPr="00A82A47" w:rsidRDefault="00A82A47" w:rsidP="0075339A">
            <w:pPr>
              <w:jc w:val="both"/>
              <w:rPr>
                <w:rFonts w:eastAsia="Times New Roman"/>
              </w:rPr>
            </w:pPr>
            <w:r w:rsidRPr="00A82A47">
              <w:rPr>
                <w:rFonts w:eastAsia="Times New Roman"/>
              </w:rPr>
              <w:t>422</w:t>
            </w:r>
          </w:p>
        </w:tc>
        <w:tc>
          <w:tcPr>
            <w:tcW w:w="0" w:type="auto"/>
            <w:tcBorders>
              <w:top w:val="single" w:sz="4" w:space="0" w:color="auto"/>
            </w:tcBorders>
            <w:vAlign w:val="center"/>
            <w:hideMark/>
          </w:tcPr>
          <w:p w14:paraId="0CA4A6B8" w14:textId="77777777" w:rsidR="00A82A47" w:rsidRPr="00A82A47" w:rsidRDefault="00A82A47" w:rsidP="0075339A">
            <w:pPr>
              <w:jc w:val="both"/>
              <w:rPr>
                <w:rFonts w:eastAsia="Times New Roman"/>
              </w:rPr>
            </w:pPr>
            <w:r w:rsidRPr="00A82A47">
              <w:rPr>
                <w:rFonts w:eastAsia="Times New Roman"/>
              </w:rPr>
              <w:t>100.0</w:t>
            </w:r>
          </w:p>
        </w:tc>
      </w:tr>
      <w:tr w:rsidR="00A82A47" w:rsidRPr="00A82A47" w14:paraId="6EC222D4" w14:textId="77777777" w:rsidTr="0075339A">
        <w:trPr>
          <w:tblCellSpacing w:w="15" w:type="dxa"/>
          <w:jc w:val="center"/>
        </w:trPr>
        <w:tc>
          <w:tcPr>
            <w:tcW w:w="3915" w:type="dxa"/>
            <w:vAlign w:val="center"/>
            <w:hideMark/>
          </w:tcPr>
          <w:p w14:paraId="498858BC" w14:textId="77777777" w:rsidR="00A82A47" w:rsidRPr="00A82A47" w:rsidRDefault="00A82A47" w:rsidP="0075339A">
            <w:pPr>
              <w:jc w:val="both"/>
              <w:rPr>
                <w:rFonts w:eastAsia="Times New Roman"/>
              </w:rPr>
            </w:pPr>
            <w:r w:rsidRPr="00A82A47">
              <w:rPr>
                <w:rFonts w:eastAsia="Times New Roman"/>
              </w:rPr>
              <w:t>Correctly Completed</w:t>
            </w:r>
          </w:p>
        </w:tc>
        <w:tc>
          <w:tcPr>
            <w:tcW w:w="3840" w:type="dxa"/>
            <w:vAlign w:val="center"/>
            <w:hideMark/>
          </w:tcPr>
          <w:p w14:paraId="0EC10D93" w14:textId="77777777" w:rsidR="00A82A47" w:rsidRPr="00A82A47" w:rsidRDefault="00A82A47" w:rsidP="0075339A">
            <w:pPr>
              <w:jc w:val="both"/>
              <w:rPr>
                <w:rFonts w:eastAsia="Times New Roman"/>
              </w:rPr>
            </w:pPr>
            <w:r w:rsidRPr="00A82A47">
              <w:rPr>
                <w:rFonts w:eastAsia="Times New Roman"/>
              </w:rPr>
              <w:t>405</w:t>
            </w:r>
          </w:p>
        </w:tc>
        <w:tc>
          <w:tcPr>
            <w:tcW w:w="0" w:type="auto"/>
            <w:vAlign w:val="center"/>
            <w:hideMark/>
          </w:tcPr>
          <w:p w14:paraId="1F327BBF" w14:textId="77777777" w:rsidR="00A82A47" w:rsidRPr="00A82A47" w:rsidRDefault="00A82A47" w:rsidP="0075339A">
            <w:pPr>
              <w:jc w:val="both"/>
              <w:rPr>
                <w:rFonts w:eastAsia="Times New Roman"/>
              </w:rPr>
            </w:pPr>
            <w:r w:rsidRPr="00A82A47">
              <w:rPr>
                <w:rFonts w:eastAsia="Times New Roman"/>
              </w:rPr>
              <w:t>96.0</w:t>
            </w:r>
          </w:p>
        </w:tc>
      </w:tr>
      <w:tr w:rsidR="00A82A47" w:rsidRPr="00A82A47" w14:paraId="3E96BD43" w14:textId="77777777" w:rsidTr="0075339A">
        <w:trPr>
          <w:tblCellSpacing w:w="15" w:type="dxa"/>
          <w:jc w:val="center"/>
        </w:trPr>
        <w:tc>
          <w:tcPr>
            <w:tcW w:w="3915" w:type="dxa"/>
            <w:vAlign w:val="center"/>
            <w:hideMark/>
          </w:tcPr>
          <w:p w14:paraId="28BF140E" w14:textId="77777777" w:rsidR="00A82A47" w:rsidRPr="00A82A47" w:rsidRDefault="00A82A47" w:rsidP="0075339A">
            <w:pPr>
              <w:jc w:val="both"/>
              <w:rPr>
                <w:rFonts w:eastAsia="Times New Roman"/>
              </w:rPr>
            </w:pPr>
            <w:r w:rsidRPr="00A82A47">
              <w:rPr>
                <w:rFonts w:eastAsia="Times New Roman"/>
              </w:rPr>
              <w:t>Incomplete/Rejected</w:t>
            </w:r>
          </w:p>
        </w:tc>
        <w:tc>
          <w:tcPr>
            <w:tcW w:w="3840" w:type="dxa"/>
            <w:vAlign w:val="center"/>
            <w:hideMark/>
          </w:tcPr>
          <w:p w14:paraId="45712C6F" w14:textId="77777777" w:rsidR="00A82A47" w:rsidRPr="00A82A47" w:rsidRDefault="00A82A47" w:rsidP="0075339A">
            <w:pPr>
              <w:jc w:val="both"/>
              <w:rPr>
                <w:rFonts w:eastAsia="Times New Roman"/>
              </w:rPr>
            </w:pPr>
            <w:r w:rsidRPr="00A82A47">
              <w:rPr>
                <w:rFonts w:eastAsia="Times New Roman"/>
              </w:rPr>
              <w:t>17</w:t>
            </w:r>
          </w:p>
        </w:tc>
        <w:tc>
          <w:tcPr>
            <w:tcW w:w="0" w:type="auto"/>
            <w:vAlign w:val="center"/>
            <w:hideMark/>
          </w:tcPr>
          <w:p w14:paraId="21C285E1" w14:textId="77777777" w:rsidR="00A82A47" w:rsidRPr="00A82A47" w:rsidRDefault="00A82A47" w:rsidP="0075339A">
            <w:pPr>
              <w:jc w:val="both"/>
              <w:rPr>
                <w:rFonts w:eastAsia="Times New Roman"/>
              </w:rPr>
            </w:pPr>
            <w:r w:rsidRPr="00A82A47">
              <w:rPr>
                <w:rFonts w:eastAsia="Times New Roman"/>
              </w:rPr>
              <w:t>4.0</w:t>
            </w:r>
          </w:p>
        </w:tc>
      </w:tr>
      <w:tr w:rsidR="00A82A47" w:rsidRPr="00A82A47" w14:paraId="0649DFC5" w14:textId="77777777" w:rsidTr="0075339A">
        <w:trPr>
          <w:tblCellSpacing w:w="15" w:type="dxa"/>
          <w:jc w:val="center"/>
        </w:trPr>
        <w:tc>
          <w:tcPr>
            <w:tcW w:w="3915" w:type="dxa"/>
            <w:tcBorders>
              <w:bottom w:val="single" w:sz="4" w:space="0" w:color="auto"/>
            </w:tcBorders>
            <w:vAlign w:val="center"/>
            <w:hideMark/>
          </w:tcPr>
          <w:p w14:paraId="37E799D8" w14:textId="77777777" w:rsidR="00A82A47" w:rsidRPr="00A82A47" w:rsidRDefault="00A82A47" w:rsidP="0075339A">
            <w:pPr>
              <w:jc w:val="both"/>
              <w:rPr>
                <w:rFonts w:eastAsia="Times New Roman"/>
              </w:rPr>
            </w:pPr>
            <w:r w:rsidRPr="00A82A47">
              <w:rPr>
                <w:rFonts w:eastAsia="Times New Roman"/>
              </w:rPr>
              <w:t>Total</w:t>
            </w:r>
          </w:p>
        </w:tc>
        <w:tc>
          <w:tcPr>
            <w:tcW w:w="3840" w:type="dxa"/>
            <w:tcBorders>
              <w:bottom w:val="single" w:sz="4" w:space="0" w:color="auto"/>
            </w:tcBorders>
            <w:vAlign w:val="center"/>
            <w:hideMark/>
          </w:tcPr>
          <w:p w14:paraId="4B05B987" w14:textId="77777777" w:rsidR="00A82A47" w:rsidRPr="00A82A47" w:rsidRDefault="00A82A47" w:rsidP="0075339A">
            <w:pPr>
              <w:jc w:val="both"/>
              <w:rPr>
                <w:rFonts w:eastAsia="Times New Roman"/>
              </w:rPr>
            </w:pPr>
            <w:r w:rsidRPr="00A82A47">
              <w:rPr>
                <w:rFonts w:eastAsia="Times New Roman"/>
              </w:rPr>
              <w:t>422</w:t>
            </w:r>
          </w:p>
        </w:tc>
        <w:tc>
          <w:tcPr>
            <w:tcW w:w="0" w:type="auto"/>
            <w:tcBorders>
              <w:bottom w:val="single" w:sz="4" w:space="0" w:color="auto"/>
            </w:tcBorders>
            <w:vAlign w:val="center"/>
            <w:hideMark/>
          </w:tcPr>
          <w:p w14:paraId="35AB4384" w14:textId="77777777" w:rsidR="00A82A47" w:rsidRPr="00A82A47" w:rsidRDefault="00A82A47" w:rsidP="0075339A">
            <w:pPr>
              <w:jc w:val="both"/>
              <w:rPr>
                <w:rFonts w:eastAsia="Times New Roman"/>
              </w:rPr>
            </w:pPr>
            <w:r w:rsidRPr="00A82A47">
              <w:rPr>
                <w:rFonts w:eastAsia="Times New Roman"/>
              </w:rPr>
              <w:t>100.0</w:t>
            </w:r>
          </w:p>
        </w:tc>
      </w:tr>
    </w:tbl>
    <w:p w14:paraId="5B1A409D" w14:textId="77777777" w:rsidR="00A82A47" w:rsidRPr="00A82A47" w:rsidRDefault="00A82A47" w:rsidP="00A82A47">
      <w:pPr>
        <w:ind w:firstLine="720"/>
        <w:jc w:val="both"/>
        <w:rPr>
          <w:rFonts w:eastAsia="Times New Roman"/>
        </w:rPr>
      </w:pPr>
      <w:r w:rsidRPr="00A82A47">
        <w:rPr>
          <w:rFonts w:eastAsia="Times New Roman"/>
        </w:rPr>
        <w:t>Out of 422 questionnaires distributed, 405 were correctly completed and returned, giving a response rate of 96.0%, which is considered adequate for statistical analysis.</w:t>
      </w:r>
    </w:p>
    <w:p w14:paraId="7F0AFF00" w14:textId="77777777" w:rsidR="00A82A47" w:rsidRDefault="00A82A47" w:rsidP="00A82A47">
      <w:pPr>
        <w:outlineLvl w:val="0"/>
        <w:rPr>
          <w:rFonts w:eastAsia="Times New Roman"/>
          <w:kern w:val="36"/>
        </w:rPr>
      </w:pPr>
    </w:p>
    <w:p w14:paraId="192D9BC8" w14:textId="1165877A" w:rsidR="00A82A47" w:rsidRDefault="00A82A47" w:rsidP="00A82A47">
      <w:pPr>
        <w:outlineLvl w:val="0"/>
        <w:rPr>
          <w:rFonts w:eastAsia="Times New Roman"/>
          <w:i/>
          <w:iCs/>
          <w:kern w:val="36"/>
        </w:rPr>
      </w:pPr>
      <w:r w:rsidRPr="00A82A47">
        <w:rPr>
          <w:rFonts w:eastAsia="Times New Roman"/>
          <w:i/>
          <w:iCs/>
          <w:kern w:val="36"/>
        </w:rPr>
        <w:t>Socio-demographic Characteristics</w:t>
      </w:r>
    </w:p>
    <w:p w14:paraId="08410085" w14:textId="77777777" w:rsidR="0075339A" w:rsidRPr="00A82A47" w:rsidRDefault="0075339A" w:rsidP="00A82A47">
      <w:pPr>
        <w:outlineLvl w:val="0"/>
        <w:rPr>
          <w:rFonts w:eastAsia="Times New Roman"/>
          <w:i/>
          <w:iCs/>
          <w:kern w:val="36"/>
        </w:rPr>
      </w:pPr>
    </w:p>
    <w:p w14:paraId="05BE0BD8" w14:textId="52C644CD" w:rsidR="00A82A47" w:rsidRPr="00A82A47" w:rsidRDefault="00A82A47" w:rsidP="00A82A47">
      <w:pPr>
        <w:jc w:val="center"/>
        <w:outlineLvl w:val="0"/>
        <w:rPr>
          <w:rFonts w:eastAsia="Times New Roman"/>
          <w:kern w:val="36"/>
        </w:rPr>
      </w:pPr>
      <w:r w:rsidRPr="00A82A47">
        <w:rPr>
          <w:rFonts w:eastAsia="Times New Roman"/>
        </w:rPr>
        <w:t>Table 3</w:t>
      </w:r>
      <w:r>
        <w:rPr>
          <w:rFonts w:eastAsia="Times New Roman"/>
          <w:lang w:val="en-US"/>
        </w:rPr>
        <w:t>.</w:t>
      </w:r>
      <w:r w:rsidRPr="00A82A47">
        <w:rPr>
          <w:rFonts w:eastAsia="Times New Roman"/>
        </w:rPr>
        <w:t xml:space="preserve"> Age Distribution of Respondents</w:t>
      </w:r>
    </w:p>
    <w:tbl>
      <w:tblPr>
        <w:tblW w:w="9378" w:type="dxa"/>
        <w:jc w:val="center"/>
        <w:tblCellSpacing w:w="15" w:type="dxa"/>
        <w:tblCellMar>
          <w:top w:w="15" w:type="dxa"/>
          <w:left w:w="15" w:type="dxa"/>
          <w:bottom w:w="15" w:type="dxa"/>
          <w:right w:w="15" w:type="dxa"/>
        </w:tblCellMar>
        <w:tblLook w:val="04A0" w:firstRow="1" w:lastRow="0" w:firstColumn="1" w:lastColumn="0" w:noHBand="0" w:noVBand="1"/>
      </w:tblPr>
      <w:tblGrid>
        <w:gridCol w:w="3780"/>
        <w:gridCol w:w="4050"/>
        <w:gridCol w:w="1548"/>
      </w:tblGrid>
      <w:tr w:rsidR="00A82A47" w:rsidRPr="00A82A47" w14:paraId="2BD49EBE" w14:textId="77777777" w:rsidTr="0075339A">
        <w:trPr>
          <w:tblHeader/>
          <w:tblCellSpacing w:w="15" w:type="dxa"/>
          <w:jc w:val="center"/>
        </w:trPr>
        <w:tc>
          <w:tcPr>
            <w:tcW w:w="3735" w:type="dxa"/>
            <w:tcBorders>
              <w:top w:val="single" w:sz="4" w:space="0" w:color="auto"/>
            </w:tcBorders>
            <w:vAlign w:val="center"/>
            <w:hideMark/>
          </w:tcPr>
          <w:p w14:paraId="66D91C2F" w14:textId="77777777" w:rsidR="00A82A47" w:rsidRPr="00A82A47" w:rsidRDefault="00A82A47" w:rsidP="0075339A">
            <w:pPr>
              <w:jc w:val="both"/>
              <w:rPr>
                <w:rFonts w:eastAsia="Times New Roman"/>
              </w:rPr>
            </w:pPr>
            <w:r w:rsidRPr="00A82A47">
              <w:rPr>
                <w:rFonts w:eastAsia="Times New Roman"/>
              </w:rPr>
              <w:t>Age (Years)</w:t>
            </w:r>
          </w:p>
        </w:tc>
        <w:tc>
          <w:tcPr>
            <w:tcW w:w="4020" w:type="dxa"/>
            <w:tcBorders>
              <w:top w:val="single" w:sz="4" w:space="0" w:color="auto"/>
            </w:tcBorders>
            <w:vAlign w:val="center"/>
            <w:hideMark/>
          </w:tcPr>
          <w:p w14:paraId="321B1230" w14:textId="77777777" w:rsidR="00A82A47" w:rsidRPr="00A82A47" w:rsidRDefault="00A82A47" w:rsidP="0075339A">
            <w:pPr>
              <w:jc w:val="both"/>
              <w:rPr>
                <w:rFonts w:eastAsia="Times New Roman"/>
              </w:rPr>
            </w:pPr>
            <w:r w:rsidRPr="00A82A47">
              <w:rPr>
                <w:rFonts w:eastAsia="Times New Roman"/>
              </w:rPr>
              <w:t>Frequency</w:t>
            </w:r>
          </w:p>
        </w:tc>
        <w:tc>
          <w:tcPr>
            <w:tcW w:w="0" w:type="auto"/>
            <w:tcBorders>
              <w:top w:val="single" w:sz="4" w:space="0" w:color="auto"/>
            </w:tcBorders>
            <w:vAlign w:val="center"/>
            <w:hideMark/>
          </w:tcPr>
          <w:p w14:paraId="5395907B" w14:textId="77777777" w:rsidR="00A82A47" w:rsidRPr="00A82A47" w:rsidRDefault="00A82A47" w:rsidP="0075339A">
            <w:pPr>
              <w:jc w:val="both"/>
              <w:rPr>
                <w:rFonts w:eastAsia="Times New Roman"/>
              </w:rPr>
            </w:pPr>
            <w:r w:rsidRPr="00A82A47">
              <w:rPr>
                <w:rFonts w:eastAsia="Times New Roman"/>
              </w:rPr>
              <w:t>Percentage (%)</w:t>
            </w:r>
          </w:p>
        </w:tc>
      </w:tr>
      <w:tr w:rsidR="00A82A47" w:rsidRPr="00A82A47" w14:paraId="7C2891B8" w14:textId="77777777" w:rsidTr="0075339A">
        <w:trPr>
          <w:tblCellSpacing w:w="15" w:type="dxa"/>
          <w:jc w:val="center"/>
        </w:trPr>
        <w:tc>
          <w:tcPr>
            <w:tcW w:w="3735" w:type="dxa"/>
            <w:tcBorders>
              <w:top w:val="single" w:sz="4" w:space="0" w:color="auto"/>
            </w:tcBorders>
            <w:vAlign w:val="center"/>
            <w:hideMark/>
          </w:tcPr>
          <w:p w14:paraId="16DAB39F" w14:textId="77777777" w:rsidR="00A82A47" w:rsidRPr="00A82A47" w:rsidRDefault="00A82A47" w:rsidP="0075339A">
            <w:pPr>
              <w:jc w:val="both"/>
              <w:rPr>
                <w:rFonts w:eastAsia="Times New Roman"/>
              </w:rPr>
            </w:pPr>
            <w:r w:rsidRPr="00A82A47">
              <w:rPr>
                <w:rFonts w:eastAsia="Times New Roman"/>
              </w:rPr>
              <w:t>18–27</w:t>
            </w:r>
          </w:p>
        </w:tc>
        <w:tc>
          <w:tcPr>
            <w:tcW w:w="4020" w:type="dxa"/>
            <w:tcBorders>
              <w:top w:val="single" w:sz="4" w:space="0" w:color="auto"/>
            </w:tcBorders>
            <w:vAlign w:val="center"/>
            <w:hideMark/>
          </w:tcPr>
          <w:p w14:paraId="5F299102" w14:textId="77777777" w:rsidR="00A82A47" w:rsidRPr="00A82A47" w:rsidRDefault="00A82A47" w:rsidP="0075339A">
            <w:pPr>
              <w:jc w:val="both"/>
              <w:rPr>
                <w:rFonts w:eastAsia="Times New Roman"/>
              </w:rPr>
            </w:pPr>
            <w:r w:rsidRPr="00A82A47">
              <w:rPr>
                <w:rFonts w:eastAsia="Times New Roman"/>
              </w:rPr>
              <w:t>72</w:t>
            </w:r>
          </w:p>
        </w:tc>
        <w:tc>
          <w:tcPr>
            <w:tcW w:w="0" w:type="auto"/>
            <w:tcBorders>
              <w:top w:val="single" w:sz="4" w:space="0" w:color="auto"/>
            </w:tcBorders>
            <w:vAlign w:val="center"/>
            <w:hideMark/>
          </w:tcPr>
          <w:p w14:paraId="58ACE70C" w14:textId="77777777" w:rsidR="00A82A47" w:rsidRPr="00A82A47" w:rsidRDefault="00A82A47" w:rsidP="0075339A">
            <w:pPr>
              <w:jc w:val="both"/>
              <w:rPr>
                <w:rFonts w:eastAsia="Times New Roman"/>
              </w:rPr>
            </w:pPr>
            <w:r w:rsidRPr="00A82A47">
              <w:rPr>
                <w:rFonts w:eastAsia="Times New Roman"/>
              </w:rPr>
              <w:t>17.8</w:t>
            </w:r>
          </w:p>
        </w:tc>
      </w:tr>
      <w:tr w:rsidR="00A82A47" w:rsidRPr="00A82A47" w14:paraId="746AABCE" w14:textId="77777777" w:rsidTr="0075339A">
        <w:trPr>
          <w:tblCellSpacing w:w="15" w:type="dxa"/>
          <w:jc w:val="center"/>
        </w:trPr>
        <w:tc>
          <w:tcPr>
            <w:tcW w:w="3735" w:type="dxa"/>
            <w:vAlign w:val="center"/>
            <w:hideMark/>
          </w:tcPr>
          <w:p w14:paraId="3B6B424B" w14:textId="77777777" w:rsidR="00A82A47" w:rsidRPr="00A82A47" w:rsidRDefault="00A82A47" w:rsidP="0075339A">
            <w:pPr>
              <w:jc w:val="both"/>
              <w:rPr>
                <w:rFonts w:eastAsia="Times New Roman"/>
              </w:rPr>
            </w:pPr>
            <w:r w:rsidRPr="00A82A47">
              <w:rPr>
                <w:rFonts w:eastAsia="Times New Roman"/>
              </w:rPr>
              <w:t>28–37</w:t>
            </w:r>
          </w:p>
        </w:tc>
        <w:tc>
          <w:tcPr>
            <w:tcW w:w="4020" w:type="dxa"/>
            <w:vAlign w:val="center"/>
            <w:hideMark/>
          </w:tcPr>
          <w:p w14:paraId="1CDB1A3B" w14:textId="77777777" w:rsidR="00A82A47" w:rsidRPr="00A82A47" w:rsidRDefault="00A82A47" w:rsidP="0075339A">
            <w:pPr>
              <w:jc w:val="both"/>
              <w:rPr>
                <w:rFonts w:eastAsia="Times New Roman"/>
              </w:rPr>
            </w:pPr>
            <w:r w:rsidRPr="00A82A47">
              <w:rPr>
                <w:rFonts w:eastAsia="Times New Roman"/>
              </w:rPr>
              <w:t>108</w:t>
            </w:r>
          </w:p>
        </w:tc>
        <w:tc>
          <w:tcPr>
            <w:tcW w:w="0" w:type="auto"/>
            <w:vAlign w:val="center"/>
            <w:hideMark/>
          </w:tcPr>
          <w:p w14:paraId="1C89FAE4" w14:textId="77777777" w:rsidR="00A82A47" w:rsidRPr="00A82A47" w:rsidRDefault="00A82A47" w:rsidP="0075339A">
            <w:pPr>
              <w:jc w:val="both"/>
              <w:rPr>
                <w:rFonts w:eastAsia="Times New Roman"/>
              </w:rPr>
            </w:pPr>
            <w:r w:rsidRPr="00A82A47">
              <w:rPr>
                <w:rFonts w:eastAsia="Times New Roman"/>
              </w:rPr>
              <w:t>26.7</w:t>
            </w:r>
          </w:p>
        </w:tc>
      </w:tr>
      <w:tr w:rsidR="00A82A47" w:rsidRPr="00A82A47" w14:paraId="67F7FA04" w14:textId="77777777" w:rsidTr="0075339A">
        <w:trPr>
          <w:tblCellSpacing w:w="15" w:type="dxa"/>
          <w:jc w:val="center"/>
        </w:trPr>
        <w:tc>
          <w:tcPr>
            <w:tcW w:w="3735" w:type="dxa"/>
            <w:vAlign w:val="center"/>
            <w:hideMark/>
          </w:tcPr>
          <w:p w14:paraId="3B4DF9C5" w14:textId="77777777" w:rsidR="00A82A47" w:rsidRPr="00A82A47" w:rsidRDefault="00A82A47" w:rsidP="0075339A">
            <w:pPr>
              <w:jc w:val="both"/>
              <w:rPr>
                <w:rFonts w:eastAsia="Times New Roman"/>
              </w:rPr>
            </w:pPr>
            <w:r w:rsidRPr="00A82A47">
              <w:rPr>
                <w:rFonts w:eastAsia="Times New Roman"/>
              </w:rPr>
              <w:t>38–47</w:t>
            </w:r>
          </w:p>
        </w:tc>
        <w:tc>
          <w:tcPr>
            <w:tcW w:w="4020" w:type="dxa"/>
            <w:vAlign w:val="center"/>
            <w:hideMark/>
          </w:tcPr>
          <w:p w14:paraId="3973BED4" w14:textId="77777777" w:rsidR="00A82A47" w:rsidRPr="00A82A47" w:rsidRDefault="00A82A47" w:rsidP="0075339A">
            <w:pPr>
              <w:jc w:val="both"/>
              <w:rPr>
                <w:rFonts w:eastAsia="Times New Roman"/>
              </w:rPr>
            </w:pPr>
            <w:r w:rsidRPr="00A82A47">
              <w:rPr>
                <w:rFonts w:eastAsia="Times New Roman"/>
              </w:rPr>
              <w:t>116</w:t>
            </w:r>
          </w:p>
        </w:tc>
        <w:tc>
          <w:tcPr>
            <w:tcW w:w="0" w:type="auto"/>
            <w:vAlign w:val="center"/>
            <w:hideMark/>
          </w:tcPr>
          <w:p w14:paraId="286C90B3" w14:textId="77777777" w:rsidR="00A82A47" w:rsidRPr="00A82A47" w:rsidRDefault="00A82A47" w:rsidP="0075339A">
            <w:pPr>
              <w:jc w:val="both"/>
              <w:rPr>
                <w:rFonts w:eastAsia="Times New Roman"/>
              </w:rPr>
            </w:pPr>
            <w:r w:rsidRPr="00A82A47">
              <w:rPr>
                <w:rFonts w:eastAsia="Times New Roman"/>
              </w:rPr>
              <w:t>28.6</w:t>
            </w:r>
          </w:p>
        </w:tc>
      </w:tr>
      <w:tr w:rsidR="00A82A47" w:rsidRPr="00A82A47" w14:paraId="276719EC" w14:textId="77777777" w:rsidTr="0075339A">
        <w:trPr>
          <w:tblCellSpacing w:w="15" w:type="dxa"/>
          <w:jc w:val="center"/>
        </w:trPr>
        <w:tc>
          <w:tcPr>
            <w:tcW w:w="3735" w:type="dxa"/>
            <w:vAlign w:val="center"/>
            <w:hideMark/>
          </w:tcPr>
          <w:p w14:paraId="2F3F673C" w14:textId="77777777" w:rsidR="00A82A47" w:rsidRPr="00A82A47" w:rsidRDefault="00A82A47" w:rsidP="0075339A">
            <w:pPr>
              <w:jc w:val="both"/>
              <w:rPr>
                <w:rFonts w:eastAsia="Times New Roman"/>
              </w:rPr>
            </w:pPr>
            <w:r w:rsidRPr="00A82A47">
              <w:rPr>
                <w:rFonts w:eastAsia="Times New Roman"/>
              </w:rPr>
              <w:t>48–57</w:t>
            </w:r>
          </w:p>
        </w:tc>
        <w:tc>
          <w:tcPr>
            <w:tcW w:w="4020" w:type="dxa"/>
            <w:vAlign w:val="center"/>
            <w:hideMark/>
          </w:tcPr>
          <w:p w14:paraId="2E684556" w14:textId="77777777" w:rsidR="00A82A47" w:rsidRPr="00A82A47" w:rsidRDefault="00A82A47" w:rsidP="0075339A">
            <w:pPr>
              <w:jc w:val="both"/>
              <w:rPr>
                <w:rFonts w:eastAsia="Times New Roman"/>
              </w:rPr>
            </w:pPr>
            <w:r w:rsidRPr="00A82A47">
              <w:rPr>
                <w:rFonts w:eastAsia="Times New Roman"/>
              </w:rPr>
              <w:t>69</w:t>
            </w:r>
          </w:p>
        </w:tc>
        <w:tc>
          <w:tcPr>
            <w:tcW w:w="0" w:type="auto"/>
            <w:vAlign w:val="center"/>
            <w:hideMark/>
          </w:tcPr>
          <w:p w14:paraId="7138B43A" w14:textId="77777777" w:rsidR="00A82A47" w:rsidRPr="00A82A47" w:rsidRDefault="00A82A47" w:rsidP="0075339A">
            <w:pPr>
              <w:jc w:val="both"/>
              <w:rPr>
                <w:rFonts w:eastAsia="Times New Roman"/>
              </w:rPr>
            </w:pPr>
            <w:r w:rsidRPr="00A82A47">
              <w:rPr>
                <w:rFonts w:eastAsia="Times New Roman"/>
              </w:rPr>
              <w:t>17.0</w:t>
            </w:r>
          </w:p>
        </w:tc>
      </w:tr>
      <w:tr w:rsidR="00A82A47" w:rsidRPr="00A82A47" w14:paraId="3F0C4FED" w14:textId="77777777" w:rsidTr="0075339A">
        <w:trPr>
          <w:tblCellSpacing w:w="15" w:type="dxa"/>
          <w:jc w:val="center"/>
        </w:trPr>
        <w:tc>
          <w:tcPr>
            <w:tcW w:w="3735" w:type="dxa"/>
            <w:vAlign w:val="center"/>
            <w:hideMark/>
          </w:tcPr>
          <w:p w14:paraId="395A2829" w14:textId="77777777" w:rsidR="00A82A47" w:rsidRPr="00A82A47" w:rsidRDefault="00A82A47" w:rsidP="0075339A">
            <w:pPr>
              <w:jc w:val="both"/>
              <w:rPr>
                <w:rFonts w:eastAsia="Times New Roman"/>
              </w:rPr>
            </w:pPr>
            <w:r w:rsidRPr="00A82A47">
              <w:rPr>
                <w:rFonts w:eastAsia="Times New Roman"/>
              </w:rPr>
              <w:t>58 years and above</w:t>
            </w:r>
          </w:p>
        </w:tc>
        <w:tc>
          <w:tcPr>
            <w:tcW w:w="4020" w:type="dxa"/>
            <w:vAlign w:val="center"/>
            <w:hideMark/>
          </w:tcPr>
          <w:p w14:paraId="52C373ED" w14:textId="77777777" w:rsidR="00A82A47" w:rsidRPr="00A82A47" w:rsidRDefault="00A82A47" w:rsidP="0075339A">
            <w:pPr>
              <w:jc w:val="both"/>
              <w:rPr>
                <w:rFonts w:eastAsia="Times New Roman"/>
              </w:rPr>
            </w:pPr>
            <w:r w:rsidRPr="00A82A47">
              <w:rPr>
                <w:rFonts w:eastAsia="Times New Roman"/>
              </w:rPr>
              <w:t>40</w:t>
            </w:r>
          </w:p>
        </w:tc>
        <w:tc>
          <w:tcPr>
            <w:tcW w:w="0" w:type="auto"/>
            <w:vAlign w:val="center"/>
            <w:hideMark/>
          </w:tcPr>
          <w:p w14:paraId="2F432C6E" w14:textId="77777777" w:rsidR="00A82A47" w:rsidRPr="00A82A47" w:rsidRDefault="00A82A47" w:rsidP="0075339A">
            <w:pPr>
              <w:jc w:val="both"/>
              <w:rPr>
                <w:rFonts w:eastAsia="Times New Roman"/>
              </w:rPr>
            </w:pPr>
            <w:r w:rsidRPr="00A82A47">
              <w:rPr>
                <w:rFonts w:eastAsia="Times New Roman"/>
              </w:rPr>
              <w:t>9.9</w:t>
            </w:r>
          </w:p>
        </w:tc>
      </w:tr>
      <w:tr w:rsidR="00A82A47" w:rsidRPr="00A82A47" w14:paraId="40B789D6" w14:textId="77777777" w:rsidTr="0075339A">
        <w:trPr>
          <w:tblCellSpacing w:w="15" w:type="dxa"/>
          <w:jc w:val="center"/>
        </w:trPr>
        <w:tc>
          <w:tcPr>
            <w:tcW w:w="3735" w:type="dxa"/>
            <w:tcBorders>
              <w:bottom w:val="single" w:sz="4" w:space="0" w:color="auto"/>
            </w:tcBorders>
            <w:vAlign w:val="center"/>
            <w:hideMark/>
          </w:tcPr>
          <w:p w14:paraId="56631A60" w14:textId="77777777" w:rsidR="00A82A47" w:rsidRPr="00A82A47" w:rsidRDefault="00A82A47" w:rsidP="0075339A">
            <w:pPr>
              <w:jc w:val="both"/>
              <w:rPr>
                <w:rFonts w:eastAsia="Times New Roman"/>
              </w:rPr>
            </w:pPr>
            <w:r w:rsidRPr="00A82A47">
              <w:rPr>
                <w:rFonts w:eastAsia="Times New Roman"/>
              </w:rPr>
              <w:t>Total</w:t>
            </w:r>
          </w:p>
        </w:tc>
        <w:tc>
          <w:tcPr>
            <w:tcW w:w="4020" w:type="dxa"/>
            <w:tcBorders>
              <w:bottom w:val="single" w:sz="4" w:space="0" w:color="auto"/>
            </w:tcBorders>
            <w:vAlign w:val="center"/>
            <w:hideMark/>
          </w:tcPr>
          <w:p w14:paraId="32F7C891" w14:textId="77777777" w:rsidR="00A82A47" w:rsidRPr="00A82A47" w:rsidRDefault="00A82A47" w:rsidP="0075339A">
            <w:pPr>
              <w:jc w:val="both"/>
              <w:rPr>
                <w:rFonts w:eastAsia="Times New Roman"/>
              </w:rPr>
            </w:pPr>
            <w:r w:rsidRPr="00A82A47">
              <w:rPr>
                <w:rFonts w:eastAsia="Times New Roman"/>
              </w:rPr>
              <w:t>405</w:t>
            </w:r>
          </w:p>
        </w:tc>
        <w:tc>
          <w:tcPr>
            <w:tcW w:w="0" w:type="auto"/>
            <w:tcBorders>
              <w:bottom w:val="single" w:sz="4" w:space="0" w:color="auto"/>
            </w:tcBorders>
            <w:vAlign w:val="center"/>
            <w:hideMark/>
          </w:tcPr>
          <w:p w14:paraId="66D62788" w14:textId="77777777" w:rsidR="00A82A47" w:rsidRPr="00A82A47" w:rsidRDefault="00A82A47" w:rsidP="0075339A">
            <w:pPr>
              <w:jc w:val="both"/>
              <w:rPr>
                <w:rFonts w:eastAsia="Times New Roman"/>
              </w:rPr>
            </w:pPr>
            <w:r w:rsidRPr="00A82A47">
              <w:rPr>
                <w:rFonts w:eastAsia="Times New Roman"/>
              </w:rPr>
              <w:t>100.0</w:t>
            </w:r>
          </w:p>
        </w:tc>
      </w:tr>
    </w:tbl>
    <w:p w14:paraId="5C2FB321" w14:textId="77777777" w:rsidR="00A82A47" w:rsidRPr="00A82A47" w:rsidRDefault="00A82A47" w:rsidP="00A82A47">
      <w:pPr>
        <w:outlineLvl w:val="2"/>
        <w:rPr>
          <w:rFonts w:eastAsia="Times New Roman"/>
        </w:rPr>
      </w:pPr>
      <w:r w:rsidRPr="00A82A47">
        <w:rPr>
          <w:rFonts w:eastAsia="Times New Roman"/>
        </w:rPr>
        <w:t xml:space="preserve">       </w:t>
      </w:r>
    </w:p>
    <w:p w14:paraId="2CF7D168" w14:textId="77777777" w:rsidR="00A82A47" w:rsidRPr="00A82A47" w:rsidRDefault="00A82A47" w:rsidP="00A82A47">
      <w:pPr>
        <w:outlineLvl w:val="2"/>
        <w:rPr>
          <w:rFonts w:eastAsia="Times New Roman"/>
        </w:rPr>
      </w:pPr>
    </w:p>
    <w:p w14:paraId="3A294325" w14:textId="27EE9481" w:rsidR="00A82A47" w:rsidRPr="00A82A47" w:rsidRDefault="00A82A47" w:rsidP="00A82A47">
      <w:pPr>
        <w:jc w:val="center"/>
        <w:outlineLvl w:val="2"/>
        <w:rPr>
          <w:rFonts w:eastAsia="Times New Roman"/>
        </w:rPr>
      </w:pPr>
      <w:r w:rsidRPr="00A82A47">
        <w:rPr>
          <w:rFonts w:eastAsia="Times New Roman"/>
        </w:rPr>
        <w:t>Table 4</w:t>
      </w:r>
      <w:r>
        <w:rPr>
          <w:rFonts w:eastAsia="Times New Roman"/>
          <w:lang w:val="en-US"/>
        </w:rPr>
        <w:t>.</w:t>
      </w:r>
      <w:r w:rsidRPr="00A82A47">
        <w:rPr>
          <w:rFonts w:eastAsia="Times New Roman"/>
        </w:rPr>
        <w:t xml:space="preserve">  Gender Distribution</w:t>
      </w:r>
    </w:p>
    <w:tbl>
      <w:tblPr>
        <w:tblW w:w="9406" w:type="dxa"/>
        <w:jc w:val="center"/>
        <w:tblCellSpacing w:w="15" w:type="dxa"/>
        <w:tblCellMar>
          <w:top w:w="15" w:type="dxa"/>
          <w:left w:w="15" w:type="dxa"/>
          <w:bottom w:w="15" w:type="dxa"/>
          <w:right w:w="15" w:type="dxa"/>
        </w:tblCellMar>
        <w:tblLook w:val="04A0" w:firstRow="1" w:lastRow="0" w:firstColumn="1" w:lastColumn="0" w:noHBand="0" w:noVBand="1"/>
      </w:tblPr>
      <w:tblGrid>
        <w:gridCol w:w="4590"/>
        <w:gridCol w:w="3268"/>
        <w:gridCol w:w="1548"/>
      </w:tblGrid>
      <w:tr w:rsidR="00A82A47" w:rsidRPr="00A82A47" w14:paraId="3E1EDC0C" w14:textId="77777777" w:rsidTr="0075339A">
        <w:trPr>
          <w:tblHeader/>
          <w:tblCellSpacing w:w="15" w:type="dxa"/>
          <w:jc w:val="center"/>
        </w:trPr>
        <w:tc>
          <w:tcPr>
            <w:tcW w:w="4545" w:type="dxa"/>
            <w:tcBorders>
              <w:top w:val="single" w:sz="4" w:space="0" w:color="auto"/>
            </w:tcBorders>
            <w:vAlign w:val="center"/>
            <w:hideMark/>
          </w:tcPr>
          <w:p w14:paraId="5C01BD67" w14:textId="77777777" w:rsidR="00A82A47" w:rsidRPr="00A82A47" w:rsidRDefault="00A82A47" w:rsidP="0075339A">
            <w:pPr>
              <w:jc w:val="both"/>
              <w:rPr>
                <w:rFonts w:eastAsia="Times New Roman"/>
              </w:rPr>
            </w:pPr>
            <w:r w:rsidRPr="00A82A47">
              <w:rPr>
                <w:rFonts w:eastAsia="Times New Roman"/>
              </w:rPr>
              <w:t>Gender</w:t>
            </w:r>
          </w:p>
        </w:tc>
        <w:tc>
          <w:tcPr>
            <w:tcW w:w="3238" w:type="dxa"/>
            <w:tcBorders>
              <w:top w:val="single" w:sz="4" w:space="0" w:color="auto"/>
            </w:tcBorders>
            <w:vAlign w:val="center"/>
            <w:hideMark/>
          </w:tcPr>
          <w:p w14:paraId="49CC05E3" w14:textId="77777777" w:rsidR="00A82A47" w:rsidRPr="00A82A47" w:rsidRDefault="00A82A47" w:rsidP="0075339A">
            <w:pPr>
              <w:jc w:val="both"/>
              <w:rPr>
                <w:rFonts w:eastAsia="Times New Roman"/>
              </w:rPr>
            </w:pPr>
            <w:r w:rsidRPr="00A82A47">
              <w:rPr>
                <w:rFonts w:eastAsia="Times New Roman"/>
              </w:rPr>
              <w:t>Frequency</w:t>
            </w:r>
          </w:p>
        </w:tc>
        <w:tc>
          <w:tcPr>
            <w:tcW w:w="0" w:type="auto"/>
            <w:tcBorders>
              <w:top w:val="single" w:sz="4" w:space="0" w:color="auto"/>
            </w:tcBorders>
            <w:vAlign w:val="center"/>
            <w:hideMark/>
          </w:tcPr>
          <w:p w14:paraId="330ABDC4" w14:textId="77777777" w:rsidR="00A82A47" w:rsidRPr="00A82A47" w:rsidRDefault="00A82A47" w:rsidP="0075339A">
            <w:pPr>
              <w:jc w:val="both"/>
              <w:rPr>
                <w:rFonts w:eastAsia="Times New Roman"/>
              </w:rPr>
            </w:pPr>
            <w:r w:rsidRPr="00A82A47">
              <w:rPr>
                <w:rFonts w:eastAsia="Times New Roman"/>
              </w:rPr>
              <w:t>Percentage (%)</w:t>
            </w:r>
          </w:p>
        </w:tc>
      </w:tr>
      <w:tr w:rsidR="00A82A47" w:rsidRPr="00A82A47" w14:paraId="0119F92A" w14:textId="77777777" w:rsidTr="0075339A">
        <w:trPr>
          <w:tblCellSpacing w:w="15" w:type="dxa"/>
          <w:jc w:val="center"/>
        </w:trPr>
        <w:tc>
          <w:tcPr>
            <w:tcW w:w="4545" w:type="dxa"/>
            <w:tcBorders>
              <w:top w:val="single" w:sz="4" w:space="0" w:color="auto"/>
            </w:tcBorders>
            <w:vAlign w:val="center"/>
            <w:hideMark/>
          </w:tcPr>
          <w:p w14:paraId="40EC9C04" w14:textId="77777777" w:rsidR="00A82A47" w:rsidRPr="00A82A47" w:rsidRDefault="00A82A47" w:rsidP="00A82A47">
            <w:pPr>
              <w:rPr>
                <w:rFonts w:eastAsia="Times New Roman"/>
              </w:rPr>
            </w:pPr>
            <w:r w:rsidRPr="00A82A47">
              <w:rPr>
                <w:rFonts w:eastAsia="Times New Roman"/>
              </w:rPr>
              <w:t>Male</w:t>
            </w:r>
          </w:p>
        </w:tc>
        <w:tc>
          <w:tcPr>
            <w:tcW w:w="3238" w:type="dxa"/>
            <w:tcBorders>
              <w:top w:val="single" w:sz="4" w:space="0" w:color="auto"/>
            </w:tcBorders>
            <w:vAlign w:val="center"/>
            <w:hideMark/>
          </w:tcPr>
          <w:p w14:paraId="502A0F42" w14:textId="77777777" w:rsidR="00A82A47" w:rsidRPr="00A82A47" w:rsidRDefault="00A82A47" w:rsidP="00A82A47">
            <w:pPr>
              <w:rPr>
                <w:rFonts w:eastAsia="Times New Roman"/>
              </w:rPr>
            </w:pPr>
            <w:r w:rsidRPr="00A82A47">
              <w:rPr>
                <w:rFonts w:eastAsia="Times New Roman"/>
              </w:rPr>
              <w:t>154</w:t>
            </w:r>
          </w:p>
        </w:tc>
        <w:tc>
          <w:tcPr>
            <w:tcW w:w="0" w:type="auto"/>
            <w:tcBorders>
              <w:top w:val="single" w:sz="4" w:space="0" w:color="auto"/>
            </w:tcBorders>
            <w:vAlign w:val="center"/>
            <w:hideMark/>
          </w:tcPr>
          <w:p w14:paraId="78982D97" w14:textId="77777777" w:rsidR="00A82A47" w:rsidRPr="00A82A47" w:rsidRDefault="00A82A47" w:rsidP="00A82A47">
            <w:pPr>
              <w:rPr>
                <w:rFonts w:eastAsia="Times New Roman"/>
              </w:rPr>
            </w:pPr>
            <w:r w:rsidRPr="00A82A47">
              <w:rPr>
                <w:rFonts w:eastAsia="Times New Roman"/>
              </w:rPr>
              <w:t>38.0</w:t>
            </w:r>
          </w:p>
        </w:tc>
      </w:tr>
      <w:tr w:rsidR="00A82A47" w:rsidRPr="00A82A47" w14:paraId="60FF81EE" w14:textId="77777777" w:rsidTr="0075339A">
        <w:trPr>
          <w:tblCellSpacing w:w="15" w:type="dxa"/>
          <w:jc w:val="center"/>
        </w:trPr>
        <w:tc>
          <w:tcPr>
            <w:tcW w:w="4545" w:type="dxa"/>
            <w:vAlign w:val="center"/>
            <w:hideMark/>
          </w:tcPr>
          <w:p w14:paraId="5C7864BF" w14:textId="77777777" w:rsidR="00A82A47" w:rsidRPr="00A82A47" w:rsidRDefault="00A82A47" w:rsidP="00A82A47">
            <w:pPr>
              <w:rPr>
                <w:rFonts w:eastAsia="Times New Roman"/>
              </w:rPr>
            </w:pPr>
            <w:r w:rsidRPr="00A82A47">
              <w:rPr>
                <w:rFonts w:eastAsia="Times New Roman"/>
              </w:rPr>
              <w:t>Female</w:t>
            </w:r>
          </w:p>
        </w:tc>
        <w:tc>
          <w:tcPr>
            <w:tcW w:w="3238" w:type="dxa"/>
            <w:vAlign w:val="center"/>
            <w:hideMark/>
          </w:tcPr>
          <w:p w14:paraId="11BDDED7" w14:textId="77777777" w:rsidR="00A82A47" w:rsidRPr="00A82A47" w:rsidRDefault="00A82A47" w:rsidP="00A82A47">
            <w:pPr>
              <w:rPr>
                <w:rFonts w:eastAsia="Times New Roman"/>
              </w:rPr>
            </w:pPr>
            <w:r w:rsidRPr="00A82A47">
              <w:rPr>
                <w:rFonts w:eastAsia="Times New Roman"/>
              </w:rPr>
              <w:t>251</w:t>
            </w:r>
          </w:p>
        </w:tc>
        <w:tc>
          <w:tcPr>
            <w:tcW w:w="0" w:type="auto"/>
            <w:vAlign w:val="center"/>
            <w:hideMark/>
          </w:tcPr>
          <w:p w14:paraId="3C1A88D1" w14:textId="77777777" w:rsidR="00A82A47" w:rsidRPr="00A82A47" w:rsidRDefault="00A82A47" w:rsidP="00A82A47">
            <w:pPr>
              <w:rPr>
                <w:rFonts w:eastAsia="Times New Roman"/>
              </w:rPr>
            </w:pPr>
            <w:r w:rsidRPr="00A82A47">
              <w:rPr>
                <w:rFonts w:eastAsia="Times New Roman"/>
              </w:rPr>
              <w:t>62.0</w:t>
            </w:r>
          </w:p>
        </w:tc>
      </w:tr>
      <w:tr w:rsidR="00A82A47" w:rsidRPr="00A82A47" w14:paraId="366793E5" w14:textId="77777777" w:rsidTr="0075339A">
        <w:trPr>
          <w:tblCellSpacing w:w="15" w:type="dxa"/>
          <w:jc w:val="center"/>
        </w:trPr>
        <w:tc>
          <w:tcPr>
            <w:tcW w:w="4545" w:type="dxa"/>
            <w:tcBorders>
              <w:bottom w:val="single" w:sz="4" w:space="0" w:color="auto"/>
            </w:tcBorders>
            <w:vAlign w:val="center"/>
            <w:hideMark/>
          </w:tcPr>
          <w:p w14:paraId="452876A8" w14:textId="77777777" w:rsidR="00A82A47" w:rsidRPr="00A82A47" w:rsidRDefault="00A82A47" w:rsidP="00A82A47">
            <w:pPr>
              <w:rPr>
                <w:rFonts w:eastAsia="Times New Roman"/>
              </w:rPr>
            </w:pPr>
            <w:r w:rsidRPr="00A82A47">
              <w:rPr>
                <w:rFonts w:eastAsia="Times New Roman"/>
              </w:rPr>
              <w:t>Total</w:t>
            </w:r>
          </w:p>
        </w:tc>
        <w:tc>
          <w:tcPr>
            <w:tcW w:w="3238" w:type="dxa"/>
            <w:tcBorders>
              <w:bottom w:val="single" w:sz="4" w:space="0" w:color="auto"/>
            </w:tcBorders>
            <w:vAlign w:val="center"/>
            <w:hideMark/>
          </w:tcPr>
          <w:p w14:paraId="3C5CD3CA" w14:textId="77777777" w:rsidR="00A82A47" w:rsidRPr="00A82A47" w:rsidRDefault="00A82A47" w:rsidP="00A82A47">
            <w:pPr>
              <w:rPr>
                <w:rFonts w:eastAsia="Times New Roman"/>
              </w:rPr>
            </w:pPr>
            <w:r w:rsidRPr="00A82A47">
              <w:rPr>
                <w:rFonts w:eastAsia="Times New Roman"/>
              </w:rPr>
              <w:t>405</w:t>
            </w:r>
          </w:p>
        </w:tc>
        <w:tc>
          <w:tcPr>
            <w:tcW w:w="0" w:type="auto"/>
            <w:tcBorders>
              <w:bottom w:val="single" w:sz="4" w:space="0" w:color="auto"/>
            </w:tcBorders>
            <w:vAlign w:val="center"/>
            <w:hideMark/>
          </w:tcPr>
          <w:p w14:paraId="5035AE2B" w14:textId="77777777" w:rsidR="00A82A47" w:rsidRPr="00A82A47" w:rsidRDefault="00A82A47" w:rsidP="00A82A47">
            <w:pPr>
              <w:rPr>
                <w:rFonts w:eastAsia="Times New Roman"/>
              </w:rPr>
            </w:pPr>
            <w:r w:rsidRPr="00A82A47">
              <w:rPr>
                <w:rFonts w:eastAsia="Times New Roman"/>
              </w:rPr>
              <w:t>100.0</w:t>
            </w:r>
          </w:p>
        </w:tc>
      </w:tr>
    </w:tbl>
    <w:p w14:paraId="3EA17DBA" w14:textId="77777777" w:rsidR="00A82A47" w:rsidRPr="00A82A47" w:rsidRDefault="00A82A47" w:rsidP="00A82A47">
      <w:pPr>
        <w:rPr>
          <w:rFonts w:eastAsia="Times New Roman"/>
        </w:rPr>
      </w:pPr>
    </w:p>
    <w:p w14:paraId="546111A0" w14:textId="271BDC47" w:rsidR="00A82A47" w:rsidRPr="00A82A47" w:rsidRDefault="00A82A47" w:rsidP="00A82A47">
      <w:pPr>
        <w:jc w:val="center"/>
        <w:outlineLvl w:val="2"/>
        <w:rPr>
          <w:rFonts w:eastAsia="Times New Roman"/>
        </w:rPr>
      </w:pPr>
      <w:r w:rsidRPr="00A82A47">
        <w:rPr>
          <w:rFonts w:eastAsia="Times New Roman"/>
        </w:rPr>
        <w:t>Table 5</w:t>
      </w:r>
      <w:r>
        <w:rPr>
          <w:rFonts w:eastAsia="Times New Roman"/>
          <w:lang w:val="en-US"/>
        </w:rPr>
        <w:t xml:space="preserve">. </w:t>
      </w:r>
      <w:r w:rsidRPr="00A82A47">
        <w:rPr>
          <w:rFonts w:eastAsia="Times New Roman"/>
        </w:rPr>
        <w:t>Educational Level</w:t>
      </w:r>
    </w:p>
    <w:tbl>
      <w:tblPr>
        <w:tblW w:w="9468" w:type="dxa"/>
        <w:jc w:val="center"/>
        <w:tblCellSpacing w:w="15" w:type="dxa"/>
        <w:tblCellMar>
          <w:top w:w="15" w:type="dxa"/>
          <w:left w:w="15" w:type="dxa"/>
          <w:bottom w:w="15" w:type="dxa"/>
          <w:right w:w="15" w:type="dxa"/>
        </w:tblCellMar>
        <w:tblLook w:val="04A0" w:firstRow="1" w:lastRow="0" w:firstColumn="1" w:lastColumn="0" w:noHBand="0" w:noVBand="1"/>
      </w:tblPr>
      <w:tblGrid>
        <w:gridCol w:w="4050"/>
        <w:gridCol w:w="3870"/>
        <w:gridCol w:w="1548"/>
      </w:tblGrid>
      <w:tr w:rsidR="00A82A47" w:rsidRPr="00A82A47" w14:paraId="255D32C4" w14:textId="77777777" w:rsidTr="0075339A">
        <w:trPr>
          <w:tblHeader/>
          <w:tblCellSpacing w:w="15" w:type="dxa"/>
          <w:jc w:val="center"/>
        </w:trPr>
        <w:tc>
          <w:tcPr>
            <w:tcW w:w="4005" w:type="dxa"/>
            <w:tcBorders>
              <w:top w:val="single" w:sz="4" w:space="0" w:color="auto"/>
            </w:tcBorders>
            <w:vAlign w:val="center"/>
            <w:hideMark/>
          </w:tcPr>
          <w:p w14:paraId="2AEE04C9" w14:textId="77777777" w:rsidR="00A82A47" w:rsidRPr="00A82A47" w:rsidRDefault="00A82A47" w:rsidP="0075339A">
            <w:pPr>
              <w:jc w:val="both"/>
              <w:rPr>
                <w:rFonts w:eastAsia="Times New Roman"/>
              </w:rPr>
            </w:pPr>
            <w:r w:rsidRPr="00A82A47">
              <w:rPr>
                <w:rFonts w:eastAsia="Times New Roman"/>
              </w:rPr>
              <w:t>Education</w:t>
            </w:r>
          </w:p>
        </w:tc>
        <w:tc>
          <w:tcPr>
            <w:tcW w:w="3840" w:type="dxa"/>
            <w:tcBorders>
              <w:top w:val="single" w:sz="4" w:space="0" w:color="auto"/>
            </w:tcBorders>
            <w:vAlign w:val="center"/>
            <w:hideMark/>
          </w:tcPr>
          <w:p w14:paraId="083A6ECF" w14:textId="77777777" w:rsidR="00A82A47" w:rsidRPr="00A82A47" w:rsidRDefault="00A82A47" w:rsidP="0075339A">
            <w:pPr>
              <w:jc w:val="both"/>
              <w:rPr>
                <w:rFonts w:eastAsia="Times New Roman"/>
              </w:rPr>
            </w:pPr>
            <w:r w:rsidRPr="00A82A47">
              <w:rPr>
                <w:rFonts w:eastAsia="Times New Roman"/>
              </w:rPr>
              <w:t>Frequency</w:t>
            </w:r>
          </w:p>
        </w:tc>
        <w:tc>
          <w:tcPr>
            <w:tcW w:w="0" w:type="auto"/>
            <w:tcBorders>
              <w:top w:val="single" w:sz="4" w:space="0" w:color="auto"/>
            </w:tcBorders>
            <w:vAlign w:val="center"/>
            <w:hideMark/>
          </w:tcPr>
          <w:p w14:paraId="44B9C23B" w14:textId="77777777" w:rsidR="00A82A47" w:rsidRPr="00A82A47" w:rsidRDefault="00A82A47" w:rsidP="0075339A">
            <w:pPr>
              <w:jc w:val="both"/>
              <w:rPr>
                <w:rFonts w:eastAsia="Times New Roman"/>
              </w:rPr>
            </w:pPr>
            <w:r w:rsidRPr="00A82A47">
              <w:rPr>
                <w:rFonts w:eastAsia="Times New Roman"/>
              </w:rPr>
              <w:t>Percentage (%)</w:t>
            </w:r>
          </w:p>
        </w:tc>
      </w:tr>
      <w:tr w:rsidR="00A82A47" w:rsidRPr="00A82A47" w14:paraId="5061EDBF" w14:textId="77777777" w:rsidTr="0075339A">
        <w:trPr>
          <w:tblCellSpacing w:w="15" w:type="dxa"/>
          <w:jc w:val="center"/>
        </w:trPr>
        <w:tc>
          <w:tcPr>
            <w:tcW w:w="4005" w:type="dxa"/>
            <w:tcBorders>
              <w:top w:val="single" w:sz="4" w:space="0" w:color="auto"/>
            </w:tcBorders>
            <w:vAlign w:val="center"/>
            <w:hideMark/>
          </w:tcPr>
          <w:p w14:paraId="0371612C" w14:textId="77777777" w:rsidR="00A82A47" w:rsidRPr="00A82A47" w:rsidRDefault="00A82A47" w:rsidP="0075339A">
            <w:pPr>
              <w:jc w:val="both"/>
              <w:rPr>
                <w:rFonts w:eastAsia="Times New Roman"/>
              </w:rPr>
            </w:pPr>
            <w:r w:rsidRPr="00A82A47">
              <w:rPr>
                <w:rFonts w:eastAsia="Times New Roman"/>
              </w:rPr>
              <w:t>No Formal Education</w:t>
            </w:r>
          </w:p>
        </w:tc>
        <w:tc>
          <w:tcPr>
            <w:tcW w:w="3840" w:type="dxa"/>
            <w:tcBorders>
              <w:top w:val="single" w:sz="4" w:space="0" w:color="auto"/>
            </w:tcBorders>
            <w:vAlign w:val="center"/>
            <w:hideMark/>
          </w:tcPr>
          <w:p w14:paraId="2FA991E7" w14:textId="77777777" w:rsidR="00A82A47" w:rsidRPr="00A82A47" w:rsidRDefault="00A82A47" w:rsidP="0075339A">
            <w:pPr>
              <w:jc w:val="both"/>
              <w:rPr>
                <w:rFonts w:eastAsia="Times New Roman"/>
              </w:rPr>
            </w:pPr>
            <w:r w:rsidRPr="00A82A47">
              <w:rPr>
                <w:rFonts w:eastAsia="Times New Roman"/>
              </w:rPr>
              <w:t>138</w:t>
            </w:r>
          </w:p>
        </w:tc>
        <w:tc>
          <w:tcPr>
            <w:tcW w:w="0" w:type="auto"/>
            <w:tcBorders>
              <w:top w:val="single" w:sz="4" w:space="0" w:color="auto"/>
            </w:tcBorders>
            <w:vAlign w:val="center"/>
            <w:hideMark/>
          </w:tcPr>
          <w:p w14:paraId="174F183F" w14:textId="77777777" w:rsidR="00A82A47" w:rsidRPr="00A82A47" w:rsidRDefault="00A82A47" w:rsidP="0075339A">
            <w:pPr>
              <w:jc w:val="both"/>
              <w:rPr>
                <w:rFonts w:eastAsia="Times New Roman"/>
              </w:rPr>
            </w:pPr>
            <w:r w:rsidRPr="00A82A47">
              <w:rPr>
                <w:rFonts w:eastAsia="Times New Roman"/>
              </w:rPr>
              <w:t>34.1</w:t>
            </w:r>
          </w:p>
        </w:tc>
      </w:tr>
      <w:tr w:rsidR="00A82A47" w:rsidRPr="00A82A47" w14:paraId="13C5CF3C" w14:textId="77777777" w:rsidTr="0075339A">
        <w:trPr>
          <w:tblCellSpacing w:w="15" w:type="dxa"/>
          <w:jc w:val="center"/>
        </w:trPr>
        <w:tc>
          <w:tcPr>
            <w:tcW w:w="4005" w:type="dxa"/>
            <w:vAlign w:val="center"/>
            <w:hideMark/>
          </w:tcPr>
          <w:p w14:paraId="57EA8F74" w14:textId="77777777" w:rsidR="00A82A47" w:rsidRPr="00A82A47" w:rsidRDefault="00A82A47" w:rsidP="0075339A">
            <w:pPr>
              <w:jc w:val="both"/>
              <w:rPr>
                <w:rFonts w:eastAsia="Times New Roman"/>
              </w:rPr>
            </w:pPr>
            <w:r w:rsidRPr="00A82A47">
              <w:rPr>
                <w:rFonts w:eastAsia="Times New Roman"/>
              </w:rPr>
              <w:t>Primary</w:t>
            </w:r>
          </w:p>
        </w:tc>
        <w:tc>
          <w:tcPr>
            <w:tcW w:w="3840" w:type="dxa"/>
            <w:vAlign w:val="center"/>
            <w:hideMark/>
          </w:tcPr>
          <w:p w14:paraId="5C8E3187" w14:textId="77777777" w:rsidR="00A82A47" w:rsidRPr="00A82A47" w:rsidRDefault="00A82A47" w:rsidP="0075339A">
            <w:pPr>
              <w:jc w:val="both"/>
              <w:rPr>
                <w:rFonts w:eastAsia="Times New Roman"/>
              </w:rPr>
            </w:pPr>
            <w:r w:rsidRPr="00A82A47">
              <w:rPr>
                <w:rFonts w:eastAsia="Times New Roman"/>
              </w:rPr>
              <w:t>91</w:t>
            </w:r>
          </w:p>
        </w:tc>
        <w:tc>
          <w:tcPr>
            <w:tcW w:w="0" w:type="auto"/>
            <w:vAlign w:val="center"/>
            <w:hideMark/>
          </w:tcPr>
          <w:p w14:paraId="560EE075" w14:textId="77777777" w:rsidR="00A82A47" w:rsidRPr="00A82A47" w:rsidRDefault="00A82A47" w:rsidP="0075339A">
            <w:pPr>
              <w:jc w:val="both"/>
              <w:rPr>
                <w:rFonts w:eastAsia="Times New Roman"/>
              </w:rPr>
            </w:pPr>
            <w:r w:rsidRPr="00A82A47">
              <w:rPr>
                <w:rFonts w:eastAsia="Times New Roman"/>
              </w:rPr>
              <w:t>22.5</w:t>
            </w:r>
          </w:p>
        </w:tc>
      </w:tr>
      <w:tr w:rsidR="00A82A47" w:rsidRPr="00A82A47" w14:paraId="010A1403" w14:textId="77777777" w:rsidTr="0075339A">
        <w:trPr>
          <w:tblCellSpacing w:w="15" w:type="dxa"/>
          <w:jc w:val="center"/>
        </w:trPr>
        <w:tc>
          <w:tcPr>
            <w:tcW w:w="4005" w:type="dxa"/>
            <w:vAlign w:val="center"/>
            <w:hideMark/>
          </w:tcPr>
          <w:p w14:paraId="26ABE566" w14:textId="77777777" w:rsidR="00A82A47" w:rsidRPr="00A82A47" w:rsidRDefault="00A82A47" w:rsidP="0075339A">
            <w:pPr>
              <w:jc w:val="both"/>
              <w:rPr>
                <w:rFonts w:eastAsia="Times New Roman"/>
              </w:rPr>
            </w:pPr>
            <w:r w:rsidRPr="00A82A47">
              <w:rPr>
                <w:rFonts w:eastAsia="Times New Roman"/>
              </w:rPr>
              <w:t>Secondary</w:t>
            </w:r>
          </w:p>
        </w:tc>
        <w:tc>
          <w:tcPr>
            <w:tcW w:w="3840" w:type="dxa"/>
            <w:vAlign w:val="center"/>
            <w:hideMark/>
          </w:tcPr>
          <w:p w14:paraId="2B8C412A" w14:textId="77777777" w:rsidR="00A82A47" w:rsidRPr="00A82A47" w:rsidRDefault="00A82A47" w:rsidP="0075339A">
            <w:pPr>
              <w:jc w:val="both"/>
              <w:rPr>
                <w:rFonts w:eastAsia="Times New Roman"/>
              </w:rPr>
            </w:pPr>
            <w:r w:rsidRPr="00A82A47">
              <w:rPr>
                <w:rFonts w:eastAsia="Times New Roman"/>
              </w:rPr>
              <w:t>115</w:t>
            </w:r>
          </w:p>
        </w:tc>
        <w:tc>
          <w:tcPr>
            <w:tcW w:w="0" w:type="auto"/>
            <w:vAlign w:val="center"/>
            <w:hideMark/>
          </w:tcPr>
          <w:p w14:paraId="3EACAA32" w14:textId="77777777" w:rsidR="00A82A47" w:rsidRPr="00A82A47" w:rsidRDefault="00A82A47" w:rsidP="0075339A">
            <w:pPr>
              <w:jc w:val="both"/>
              <w:rPr>
                <w:rFonts w:eastAsia="Times New Roman"/>
              </w:rPr>
            </w:pPr>
            <w:r w:rsidRPr="00A82A47">
              <w:rPr>
                <w:rFonts w:eastAsia="Times New Roman"/>
              </w:rPr>
              <w:t>28.4</w:t>
            </w:r>
          </w:p>
        </w:tc>
      </w:tr>
      <w:tr w:rsidR="00A82A47" w:rsidRPr="00A82A47" w14:paraId="52242EF3" w14:textId="77777777" w:rsidTr="0075339A">
        <w:trPr>
          <w:tblCellSpacing w:w="15" w:type="dxa"/>
          <w:jc w:val="center"/>
        </w:trPr>
        <w:tc>
          <w:tcPr>
            <w:tcW w:w="4005" w:type="dxa"/>
            <w:vAlign w:val="center"/>
            <w:hideMark/>
          </w:tcPr>
          <w:p w14:paraId="7AAE7461" w14:textId="77777777" w:rsidR="00A82A47" w:rsidRPr="00A82A47" w:rsidRDefault="00A82A47" w:rsidP="0075339A">
            <w:pPr>
              <w:jc w:val="both"/>
              <w:rPr>
                <w:rFonts w:eastAsia="Times New Roman"/>
              </w:rPr>
            </w:pPr>
            <w:r w:rsidRPr="00A82A47">
              <w:rPr>
                <w:rFonts w:eastAsia="Times New Roman"/>
              </w:rPr>
              <w:t>Tertiary</w:t>
            </w:r>
          </w:p>
        </w:tc>
        <w:tc>
          <w:tcPr>
            <w:tcW w:w="3840" w:type="dxa"/>
            <w:vAlign w:val="center"/>
            <w:hideMark/>
          </w:tcPr>
          <w:p w14:paraId="11B39D69" w14:textId="77777777" w:rsidR="00A82A47" w:rsidRPr="00A82A47" w:rsidRDefault="00A82A47" w:rsidP="0075339A">
            <w:pPr>
              <w:jc w:val="both"/>
              <w:rPr>
                <w:rFonts w:eastAsia="Times New Roman"/>
              </w:rPr>
            </w:pPr>
            <w:r w:rsidRPr="00A82A47">
              <w:rPr>
                <w:rFonts w:eastAsia="Times New Roman"/>
              </w:rPr>
              <w:t>61</w:t>
            </w:r>
          </w:p>
        </w:tc>
        <w:tc>
          <w:tcPr>
            <w:tcW w:w="0" w:type="auto"/>
            <w:vAlign w:val="center"/>
            <w:hideMark/>
          </w:tcPr>
          <w:p w14:paraId="32AA8103" w14:textId="77777777" w:rsidR="00A82A47" w:rsidRPr="00A82A47" w:rsidRDefault="00A82A47" w:rsidP="0075339A">
            <w:pPr>
              <w:jc w:val="both"/>
              <w:rPr>
                <w:rFonts w:eastAsia="Times New Roman"/>
              </w:rPr>
            </w:pPr>
            <w:r w:rsidRPr="00A82A47">
              <w:rPr>
                <w:rFonts w:eastAsia="Times New Roman"/>
              </w:rPr>
              <w:t>15.0</w:t>
            </w:r>
          </w:p>
        </w:tc>
      </w:tr>
      <w:tr w:rsidR="00A82A47" w:rsidRPr="00A82A47" w14:paraId="7D91A9B9" w14:textId="77777777" w:rsidTr="0075339A">
        <w:trPr>
          <w:tblCellSpacing w:w="15" w:type="dxa"/>
          <w:jc w:val="center"/>
        </w:trPr>
        <w:tc>
          <w:tcPr>
            <w:tcW w:w="4005" w:type="dxa"/>
            <w:tcBorders>
              <w:bottom w:val="single" w:sz="4" w:space="0" w:color="auto"/>
            </w:tcBorders>
            <w:vAlign w:val="center"/>
            <w:hideMark/>
          </w:tcPr>
          <w:p w14:paraId="5129F878" w14:textId="77777777" w:rsidR="00A82A47" w:rsidRPr="00A82A47" w:rsidRDefault="00A82A47" w:rsidP="0075339A">
            <w:pPr>
              <w:jc w:val="both"/>
              <w:rPr>
                <w:rFonts w:eastAsia="Times New Roman"/>
              </w:rPr>
            </w:pPr>
            <w:r w:rsidRPr="00A82A47">
              <w:rPr>
                <w:rFonts w:eastAsia="Times New Roman"/>
              </w:rPr>
              <w:t>Total</w:t>
            </w:r>
          </w:p>
        </w:tc>
        <w:tc>
          <w:tcPr>
            <w:tcW w:w="3840" w:type="dxa"/>
            <w:tcBorders>
              <w:bottom w:val="single" w:sz="4" w:space="0" w:color="auto"/>
            </w:tcBorders>
            <w:vAlign w:val="center"/>
            <w:hideMark/>
          </w:tcPr>
          <w:p w14:paraId="522DE56A" w14:textId="77777777" w:rsidR="00A82A47" w:rsidRPr="00A82A47" w:rsidRDefault="00A82A47" w:rsidP="0075339A">
            <w:pPr>
              <w:jc w:val="both"/>
              <w:rPr>
                <w:rFonts w:eastAsia="Times New Roman"/>
              </w:rPr>
            </w:pPr>
            <w:r w:rsidRPr="00A82A47">
              <w:rPr>
                <w:rFonts w:eastAsia="Times New Roman"/>
              </w:rPr>
              <w:t>405</w:t>
            </w:r>
          </w:p>
        </w:tc>
        <w:tc>
          <w:tcPr>
            <w:tcW w:w="0" w:type="auto"/>
            <w:tcBorders>
              <w:bottom w:val="single" w:sz="4" w:space="0" w:color="auto"/>
            </w:tcBorders>
            <w:vAlign w:val="center"/>
            <w:hideMark/>
          </w:tcPr>
          <w:p w14:paraId="45C6FAD5" w14:textId="77777777" w:rsidR="00A82A47" w:rsidRPr="00A82A47" w:rsidRDefault="00A82A47" w:rsidP="0075339A">
            <w:pPr>
              <w:jc w:val="both"/>
              <w:rPr>
                <w:rFonts w:eastAsia="Times New Roman"/>
              </w:rPr>
            </w:pPr>
            <w:r w:rsidRPr="00A82A47">
              <w:rPr>
                <w:rFonts w:eastAsia="Times New Roman"/>
              </w:rPr>
              <w:t>100.0</w:t>
            </w:r>
          </w:p>
        </w:tc>
      </w:tr>
    </w:tbl>
    <w:p w14:paraId="6F8E1166" w14:textId="77777777" w:rsidR="0075339A" w:rsidRDefault="0075339A" w:rsidP="00A82A47">
      <w:pPr>
        <w:jc w:val="center"/>
        <w:outlineLvl w:val="2"/>
        <w:rPr>
          <w:rFonts w:eastAsia="Times New Roman"/>
        </w:rPr>
      </w:pPr>
    </w:p>
    <w:p w14:paraId="58291112" w14:textId="1828C804" w:rsidR="00A82A47" w:rsidRPr="00A82A47" w:rsidRDefault="00A82A47" w:rsidP="00A82A47">
      <w:pPr>
        <w:jc w:val="center"/>
        <w:outlineLvl w:val="2"/>
        <w:rPr>
          <w:rFonts w:eastAsia="Times New Roman"/>
        </w:rPr>
      </w:pPr>
      <w:r w:rsidRPr="00A82A47">
        <w:rPr>
          <w:rFonts w:eastAsia="Times New Roman"/>
        </w:rPr>
        <w:t>Table 6</w:t>
      </w:r>
      <w:r>
        <w:rPr>
          <w:rFonts w:eastAsia="Times New Roman"/>
          <w:lang w:val="en-US"/>
        </w:rPr>
        <w:t>.</w:t>
      </w:r>
      <w:r w:rsidRPr="00A82A47">
        <w:rPr>
          <w:rFonts w:eastAsia="Times New Roman"/>
        </w:rPr>
        <w:t xml:space="preserve"> Occupation</w:t>
      </w:r>
    </w:p>
    <w:tbl>
      <w:tblPr>
        <w:tblW w:w="9379" w:type="dxa"/>
        <w:jc w:val="center"/>
        <w:tblCellSpacing w:w="15" w:type="dxa"/>
        <w:tblCellMar>
          <w:top w:w="15" w:type="dxa"/>
          <w:left w:w="15" w:type="dxa"/>
          <w:bottom w:w="15" w:type="dxa"/>
          <w:right w:w="15" w:type="dxa"/>
        </w:tblCellMar>
        <w:tblLook w:val="04A0" w:firstRow="1" w:lastRow="0" w:firstColumn="1" w:lastColumn="0" w:noHBand="0" w:noVBand="1"/>
      </w:tblPr>
      <w:tblGrid>
        <w:gridCol w:w="4590"/>
        <w:gridCol w:w="3241"/>
        <w:gridCol w:w="1548"/>
      </w:tblGrid>
      <w:tr w:rsidR="00A82A47" w:rsidRPr="00A82A47" w14:paraId="6638F204" w14:textId="77777777" w:rsidTr="0075339A">
        <w:trPr>
          <w:tblHeader/>
          <w:tblCellSpacing w:w="15" w:type="dxa"/>
          <w:jc w:val="center"/>
        </w:trPr>
        <w:tc>
          <w:tcPr>
            <w:tcW w:w="4545" w:type="dxa"/>
            <w:tcBorders>
              <w:top w:val="single" w:sz="4" w:space="0" w:color="auto"/>
            </w:tcBorders>
            <w:vAlign w:val="center"/>
            <w:hideMark/>
          </w:tcPr>
          <w:p w14:paraId="3A80CAE9" w14:textId="77777777" w:rsidR="00A82A47" w:rsidRPr="00A82A47" w:rsidRDefault="00A82A47" w:rsidP="0075339A">
            <w:pPr>
              <w:jc w:val="both"/>
              <w:rPr>
                <w:rFonts w:eastAsia="Times New Roman"/>
              </w:rPr>
            </w:pPr>
            <w:r w:rsidRPr="00A82A47">
              <w:rPr>
                <w:rFonts w:eastAsia="Times New Roman"/>
              </w:rPr>
              <w:t>Occupation</w:t>
            </w:r>
          </w:p>
        </w:tc>
        <w:tc>
          <w:tcPr>
            <w:tcW w:w="3211" w:type="dxa"/>
            <w:tcBorders>
              <w:top w:val="single" w:sz="4" w:space="0" w:color="auto"/>
            </w:tcBorders>
            <w:vAlign w:val="center"/>
            <w:hideMark/>
          </w:tcPr>
          <w:p w14:paraId="79F531A5" w14:textId="77777777" w:rsidR="00A82A47" w:rsidRPr="00A82A47" w:rsidRDefault="00A82A47" w:rsidP="0075339A">
            <w:pPr>
              <w:jc w:val="both"/>
              <w:rPr>
                <w:rFonts w:eastAsia="Times New Roman"/>
              </w:rPr>
            </w:pPr>
            <w:r w:rsidRPr="00A82A47">
              <w:rPr>
                <w:rFonts w:eastAsia="Times New Roman"/>
              </w:rPr>
              <w:t>Frequency</w:t>
            </w:r>
          </w:p>
        </w:tc>
        <w:tc>
          <w:tcPr>
            <w:tcW w:w="0" w:type="auto"/>
            <w:tcBorders>
              <w:top w:val="single" w:sz="4" w:space="0" w:color="auto"/>
            </w:tcBorders>
            <w:vAlign w:val="center"/>
            <w:hideMark/>
          </w:tcPr>
          <w:p w14:paraId="4E7E8173" w14:textId="77777777" w:rsidR="00A82A47" w:rsidRPr="00A82A47" w:rsidRDefault="00A82A47" w:rsidP="0075339A">
            <w:pPr>
              <w:jc w:val="both"/>
              <w:rPr>
                <w:rFonts w:eastAsia="Times New Roman"/>
              </w:rPr>
            </w:pPr>
            <w:r w:rsidRPr="00A82A47">
              <w:rPr>
                <w:rFonts w:eastAsia="Times New Roman"/>
              </w:rPr>
              <w:t>Percentage (%)</w:t>
            </w:r>
          </w:p>
        </w:tc>
      </w:tr>
      <w:tr w:rsidR="00A82A47" w:rsidRPr="00A82A47" w14:paraId="3C2938BD" w14:textId="77777777" w:rsidTr="0075339A">
        <w:trPr>
          <w:tblCellSpacing w:w="15" w:type="dxa"/>
          <w:jc w:val="center"/>
        </w:trPr>
        <w:tc>
          <w:tcPr>
            <w:tcW w:w="4545" w:type="dxa"/>
            <w:tcBorders>
              <w:top w:val="single" w:sz="4" w:space="0" w:color="auto"/>
            </w:tcBorders>
            <w:vAlign w:val="center"/>
            <w:hideMark/>
          </w:tcPr>
          <w:p w14:paraId="31A96A1B" w14:textId="77777777" w:rsidR="00A82A47" w:rsidRPr="00A82A47" w:rsidRDefault="00A82A47" w:rsidP="00A82A47">
            <w:pPr>
              <w:rPr>
                <w:rFonts w:eastAsia="Times New Roman"/>
              </w:rPr>
            </w:pPr>
            <w:r w:rsidRPr="00A82A47">
              <w:rPr>
                <w:rFonts w:eastAsia="Times New Roman"/>
              </w:rPr>
              <w:t>Farming</w:t>
            </w:r>
          </w:p>
        </w:tc>
        <w:tc>
          <w:tcPr>
            <w:tcW w:w="3211" w:type="dxa"/>
            <w:tcBorders>
              <w:top w:val="single" w:sz="4" w:space="0" w:color="auto"/>
            </w:tcBorders>
            <w:vAlign w:val="center"/>
            <w:hideMark/>
          </w:tcPr>
          <w:p w14:paraId="4B5861CE" w14:textId="77777777" w:rsidR="00A82A47" w:rsidRPr="00A82A47" w:rsidRDefault="00A82A47" w:rsidP="00A82A47">
            <w:pPr>
              <w:rPr>
                <w:rFonts w:eastAsia="Times New Roman"/>
              </w:rPr>
            </w:pPr>
            <w:r w:rsidRPr="00A82A47">
              <w:rPr>
                <w:rFonts w:eastAsia="Times New Roman"/>
              </w:rPr>
              <w:t>245</w:t>
            </w:r>
          </w:p>
        </w:tc>
        <w:tc>
          <w:tcPr>
            <w:tcW w:w="0" w:type="auto"/>
            <w:tcBorders>
              <w:top w:val="single" w:sz="4" w:space="0" w:color="auto"/>
            </w:tcBorders>
            <w:vAlign w:val="center"/>
            <w:hideMark/>
          </w:tcPr>
          <w:p w14:paraId="18ACE711" w14:textId="77777777" w:rsidR="00A82A47" w:rsidRPr="00A82A47" w:rsidRDefault="00A82A47" w:rsidP="00A82A47">
            <w:pPr>
              <w:rPr>
                <w:rFonts w:eastAsia="Times New Roman"/>
              </w:rPr>
            </w:pPr>
            <w:r w:rsidRPr="00A82A47">
              <w:rPr>
                <w:rFonts w:eastAsia="Times New Roman"/>
              </w:rPr>
              <w:t>60.5</w:t>
            </w:r>
          </w:p>
        </w:tc>
      </w:tr>
      <w:tr w:rsidR="00A82A47" w:rsidRPr="00A82A47" w14:paraId="7C977B68" w14:textId="77777777" w:rsidTr="0075339A">
        <w:trPr>
          <w:tblCellSpacing w:w="15" w:type="dxa"/>
          <w:jc w:val="center"/>
        </w:trPr>
        <w:tc>
          <w:tcPr>
            <w:tcW w:w="4545" w:type="dxa"/>
            <w:vAlign w:val="center"/>
            <w:hideMark/>
          </w:tcPr>
          <w:p w14:paraId="14728208" w14:textId="77777777" w:rsidR="00A82A47" w:rsidRPr="00A82A47" w:rsidRDefault="00A82A47" w:rsidP="00A82A47">
            <w:pPr>
              <w:rPr>
                <w:rFonts w:eastAsia="Times New Roman"/>
              </w:rPr>
            </w:pPr>
            <w:r w:rsidRPr="00A82A47">
              <w:rPr>
                <w:rFonts w:eastAsia="Times New Roman"/>
              </w:rPr>
              <w:t>Trading</w:t>
            </w:r>
          </w:p>
        </w:tc>
        <w:tc>
          <w:tcPr>
            <w:tcW w:w="3211" w:type="dxa"/>
            <w:vAlign w:val="center"/>
            <w:hideMark/>
          </w:tcPr>
          <w:p w14:paraId="07F31871" w14:textId="77777777" w:rsidR="00A82A47" w:rsidRPr="00A82A47" w:rsidRDefault="00A82A47" w:rsidP="00A82A47">
            <w:pPr>
              <w:rPr>
                <w:rFonts w:eastAsia="Times New Roman"/>
              </w:rPr>
            </w:pPr>
            <w:r w:rsidRPr="00A82A47">
              <w:rPr>
                <w:rFonts w:eastAsia="Times New Roman"/>
              </w:rPr>
              <w:t>72</w:t>
            </w:r>
          </w:p>
        </w:tc>
        <w:tc>
          <w:tcPr>
            <w:tcW w:w="0" w:type="auto"/>
            <w:vAlign w:val="center"/>
            <w:hideMark/>
          </w:tcPr>
          <w:p w14:paraId="13FD6EFC" w14:textId="77777777" w:rsidR="00A82A47" w:rsidRPr="00A82A47" w:rsidRDefault="00A82A47" w:rsidP="00A82A47">
            <w:pPr>
              <w:rPr>
                <w:rFonts w:eastAsia="Times New Roman"/>
              </w:rPr>
            </w:pPr>
            <w:r w:rsidRPr="00A82A47">
              <w:rPr>
                <w:rFonts w:eastAsia="Times New Roman"/>
              </w:rPr>
              <w:t>17.8</w:t>
            </w:r>
          </w:p>
        </w:tc>
      </w:tr>
      <w:tr w:rsidR="00A82A47" w:rsidRPr="00A82A47" w14:paraId="4DC01539" w14:textId="77777777" w:rsidTr="0075339A">
        <w:trPr>
          <w:tblCellSpacing w:w="15" w:type="dxa"/>
          <w:jc w:val="center"/>
        </w:trPr>
        <w:tc>
          <w:tcPr>
            <w:tcW w:w="4545" w:type="dxa"/>
            <w:vAlign w:val="center"/>
            <w:hideMark/>
          </w:tcPr>
          <w:p w14:paraId="5A663805" w14:textId="77777777" w:rsidR="00A82A47" w:rsidRPr="00A82A47" w:rsidRDefault="00A82A47" w:rsidP="00A82A47">
            <w:pPr>
              <w:rPr>
                <w:rFonts w:eastAsia="Times New Roman"/>
              </w:rPr>
            </w:pPr>
            <w:r w:rsidRPr="00A82A47">
              <w:rPr>
                <w:rFonts w:eastAsia="Times New Roman"/>
              </w:rPr>
              <w:t>Civil Servant</w:t>
            </w:r>
          </w:p>
        </w:tc>
        <w:tc>
          <w:tcPr>
            <w:tcW w:w="3211" w:type="dxa"/>
            <w:vAlign w:val="center"/>
            <w:hideMark/>
          </w:tcPr>
          <w:p w14:paraId="1E7FFFBF" w14:textId="77777777" w:rsidR="00A82A47" w:rsidRPr="00A82A47" w:rsidRDefault="00A82A47" w:rsidP="00A82A47">
            <w:pPr>
              <w:rPr>
                <w:rFonts w:eastAsia="Times New Roman"/>
              </w:rPr>
            </w:pPr>
            <w:r w:rsidRPr="00A82A47">
              <w:rPr>
                <w:rFonts w:eastAsia="Times New Roman"/>
              </w:rPr>
              <w:t>31</w:t>
            </w:r>
          </w:p>
        </w:tc>
        <w:tc>
          <w:tcPr>
            <w:tcW w:w="0" w:type="auto"/>
            <w:vAlign w:val="center"/>
            <w:hideMark/>
          </w:tcPr>
          <w:p w14:paraId="2F82F364" w14:textId="77777777" w:rsidR="00A82A47" w:rsidRPr="00A82A47" w:rsidRDefault="00A82A47" w:rsidP="00A82A47">
            <w:pPr>
              <w:rPr>
                <w:rFonts w:eastAsia="Times New Roman"/>
              </w:rPr>
            </w:pPr>
            <w:r w:rsidRPr="00A82A47">
              <w:rPr>
                <w:rFonts w:eastAsia="Times New Roman"/>
              </w:rPr>
              <w:t>7.7</w:t>
            </w:r>
          </w:p>
        </w:tc>
      </w:tr>
      <w:tr w:rsidR="00A82A47" w:rsidRPr="00A82A47" w14:paraId="6A2F3EB0" w14:textId="77777777" w:rsidTr="0075339A">
        <w:trPr>
          <w:tblCellSpacing w:w="15" w:type="dxa"/>
          <w:jc w:val="center"/>
        </w:trPr>
        <w:tc>
          <w:tcPr>
            <w:tcW w:w="4545" w:type="dxa"/>
            <w:vAlign w:val="center"/>
            <w:hideMark/>
          </w:tcPr>
          <w:p w14:paraId="5CFB1A00" w14:textId="77777777" w:rsidR="00A82A47" w:rsidRPr="00A82A47" w:rsidRDefault="00A82A47" w:rsidP="00A82A47">
            <w:pPr>
              <w:rPr>
                <w:rFonts w:eastAsia="Times New Roman"/>
              </w:rPr>
            </w:pPr>
            <w:r w:rsidRPr="00A82A47">
              <w:rPr>
                <w:rFonts w:eastAsia="Times New Roman"/>
              </w:rPr>
              <w:t>Artisan</w:t>
            </w:r>
          </w:p>
        </w:tc>
        <w:tc>
          <w:tcPr>
            <w:tcW w:w="3211" w:type="dxa"/>
            <w:vAlign w:val="center"/>
            <w:hideMark/>
          </w:tcPr>
          <w:p w14:paraId="28215A3A" w14:textId="77777777" w:rsidR="00A82A47" w:rsidRPr="00A82A47" w:rsidRDefault="00A82A47" w:rsidP="00A82A47">
            <w:pPr>
              <w:rPr>
                <w:rFonts w:eastAsia="Times New Roman"/>
              </w:rPr>
            </w:pPr>
            <w:r w:rsidRPr="00A82A47">
              <w:rPr>
                <w:rFonts w:eastAsia="Times New Roman"/>
              </w:rPr>
              <w:t>39</w:t>
            </w:r>
          </w:p>
        </w:tc>
        <w:tc>
          <w:tcPr>
            <w:tcW w:w="0" w:type="auto"/>
            <w:vAlign w:val="center"/>
            <w:hideMark/>
          </w:tcPr>
          <w:p w14:paraId="228F2FF3" w14:textId="77777777" w:rsidR="00A82A47" w:rsidRPr="00A82A47" w:rsidRDefault="00A82A47" w:rsidP="00A82A47">
            <w:pPr>
              <w:rPr>
                <w:rFonts w:eastAsia="Times New Roman"/>
              </w:rPr>
            </w:pPr>
            <w:r w:rsidRPr="00A82A47">
              <w:rPr>
                <w:rFonts w:eastAsia="Times New Roman"/>
              </w:rPr>
              <w:t>9.6</w:t>
            </w:r>
          </w:p>
        </w:tc>
      </w:tr>
      <w:tr w:rsidR="00A82A47" w:rsidRPr="00A82A47" w14:paraId="2EF53DE6" w14:textId="77777777" w:rsidTr="0075339A">
        <w:trPr>
          <w:tblCellSpacing w:w="15" w:type="dxa"/>
          <w:jc w:val="center"/>
        </w:trPr>
        <w:tc>
          <w:tcPr>
            <w:tcW w:w="4545" w:type="dxa"/>
            <w:vAlign w:val="center"/>
            <w:hideMark/>
          </w:tcPr>
          <w:p w14:paraId="3184D5BB" w14:textId="77777777" w:rsidR="00A82A47" w:rsidRPr="00A82A47" w:rsidRDefault="00A82A47" w:rsidP="00A82A47">
            <w:pPr>
              <w:rPr>
                <w:rFonts w:eastAsia="Times New Roman"/>
              </w:rPr>
            </w:pPr>
            <w:r w:rsidRPr="00A82A47">
              <w:rPr>
                <w:rFonts w:eastAsia="Times New Roman"/>
              </w:rPr>
              <w:lastRenderedPageBreak/>
              <w:t>Others</w:t>
            </w:r>
          </w:p>
        </w:tc>
        <w:tc>
          <w:tcPr>
            <w:tcW w:w="3211" w:type="dxa"/>
            <w:vAlign w:val="center"/>
            <w:hideMark/>
          </w:tcPr>
          <w:p w14:paraId="50084112" w14:textId="77777777" w:rsidR="00A82A47" w:rsidRPr="00A82A47" w:rsidRDefault="00A82A47" w:rsidP="00A82A47">
            <w:pPr>
              <w:rPr>
                <w:rFonts w:eastAsia="Times New Roman"/>
              </w:rPr>
            </w:pPr>
            <w:r w:rsidRPr="00A82A47">
              <w:rPr>
                <w:rFonts w:eastAsia="Times New Roman"/>
              </w:rPr>
              <w:t>18</w:t>
            </w:r>
          </w:p>
        </w:tc>
        <w:tc>
          <w:tcPr>
            <w:tcW w:w="0" w:type="auto"/>
            <w:vAlign w:val="center"/>
            <w:hideMark/>
          </w:tcPr>
          <w:p w14:paraId="67B53D15" w14:textId="77777777" w:rsidR="00A82A47" w:rsidRPr="00A82A47" w:rsidRDefault="00A82A47" w:rsidP="00A82A47">
            <w:pPr>
              <w:rPr>
                <w:rFonts w:eastAsia="Times New Roman"/>
              </w:rPr>
            </w:pPr>
            <w:r w:rsidRPr="00A82A47">
              <w:rPr>
                <w:rFonts w:eastAsia="Times New Roman"/>
              </w:rPr>
              <w:t>4.4</w:t>
            </w:r>
          </w:p>
        </w:tc>
      </w:tr>
      <w:tr w:rsidR="00A82A47" w:rsidRPr="00A82A47" w14:paraId="0C733C5A" w14:textId="77777777" w:rsidTr="0075339A">
        <w:trPr>
          <w:tblCellSpacing w:w="15" w:type="dxa"/>
          <w:jc w:val="center"/>
        </w:trPr>
        <w:tc>
          <w:tcPr>
            <w:tcW w:w="4545" w:type="dxa"/>
            <w:tcBorders>
              <w:bottom w:val="single" w:sz="4" w:space="0" w:color="auto"/>
            </w:tcBorders>
            <w:vAlign w:val="center"/>
            <w:hideMark/>
          </w:tcPr>
          <w:p w14:paraId="11547048" w14:textId="77777777" w:rsidR="00A82A47" w:rsidRPr="00A82A47" w:rsidRDefault="00A82A47" w:rsidP="00A82A47">
            <w:pPr>
              <w:rPr>
                <w:rFonts w:eastAsia="Times New Roman"/>
              </w:rPr>
            </w:pPr>
            <w:r w:rsidRPr="00A82A47">
              <w:rPr>
                <w:rFonts w:eastAsia="Times New Roman"/>
              </w:rPr>
              <w:t>Total</w:t>
            </w:r>
          </w:p>
        </w:tc>
        <w:tc>
          <w:tcPr>
            <w:tcW w:w="3211" w:type="dxa"/>
            <w:tcBorders>
              <w:bottom w:val="single" w:sz="4" w:space="0" w:color="auto"/>
            </w:tcBorders>
            <w:vAlign w:val="center"/>
            <w:hideMark/>
          </w:tcPr>
          <w:p w14:paraId="6F6437D2" w14:textId="77777777" w:rsidR="00A82A47" w:rsidRPr="00A82A47" w:rsidRDefault="00A82A47" w:rsidP="00A82A47">
            <w:pPr>
              <w:rPr>
                <w:rFonts w:eastAsia="Times New Roman"/>
              </w:rPr>
            </w:pPr>
            <w:r w:rsidRPr="00A82A47">
              <w:rPr>
                <w:rFonts w:eastAsia="Times New Roman"/>
              </w:rPr>
              <w:t>405</w:t>
            </w:r>
          </w:p>
        </w:tc>
        <w:tc>
          <w:tcPr>
            <w:tcW w:w="0" w:type="auto"/>
            <w:tcBorders>
              <w:bottom w:val="single" w:sz="4" w:space="0" w:color="auto"/>
            </w:tcBorders>
            <w:vAlign w:val="center"/>
            <w:hideMark/>
          </w:tcPr>
          <w:p w14:paraId="72BE5FEF" w14:textId="77777777" w:rsidR="00A82A47" w:rsidRPr="00A82A47" w:rsidRDefault="00A82A47" w:rsidP="00A82A47">
            <w:pPr>
              <w:rPr>
                <w:rFonts w:eastAsia="Times New Roman"/>
              </w:rPr>
            </w:pPr>
            <w:r w:rsidRPr="00A82A47">
              <w:rPr>
                <w:rFonts w:eastAsia="Times New Roman"/>
              </w:rPr>
              <w:t>100.0</w:t>
            </w:r>
          </w:p>
        </w:tc>
      </w:tr>
    </w:tbl>
    <w:p w14:paraId="6A6F2290" w14:textId="77777777" w:rsidR="00A82A47" w:rsidRDefault="00A82A47" w:rsidP="00A82A47">
      <w:pPr>
        <w:outlineLvl w:val="0"/>
        <w:rPr>
          <w:rFonts w:eastAsia="Times New Roman"/>
          <w:kern w:val="36"/>
        </w:rPr>
      </w:pPr>
    </w:p>
    <w:p w14:paraId="3BDF0B28" w14:textId="7FEE0CD4" w:rsidR="00A82A47" w:rsidRPr="00A82A47" w:rsidRDefault="00A82A47" w:rsidP="00A82A47">
      <w:pPr>
        <w:outlineLvl w:val="0"/>
        <w:rPr>
          <w:rFonts w:eastAsia="Times New Roman"/>
          <w:i/>
          <w:iCs/>
          <w:kern w:val="36"/>
        </w:rPr>
      </w:pPr>
      <w:r w:rsidRPr="00A82A47">
        <w:rPr>
          <w:rFonts w:eastAsia="Times New Roman"/>
          <w:i/>
          <w:iCs/>
          <w:kern w:val="36"/>
        </w:rPr>
        <w:t>Household Energy Use</w:t>
      </w:r>
    </w:p>
    <w:p w14:paraId="76BBDBCA" w14:textId="145A4BC0" w:rsidR="00A82A47" w:rsidRPr="00A82A47" w:rsidRDefault="00A82A47" w:rsidP="00A82A47">
      <w:pPr>
        <w:jc w:val="center"/>
        <w:outlineLvl w:val="2"/>
        <w:rPr>
          <w:rFonts w:eastAsia="Times New Roman"/>
        </w:rPr>
      </w:pPr>
      <w:r w:rsidRPr="00A82A47">
        <w:rPr>
          <w:rFonts w:eastAsia="Times New Roman"/>
        </w:rPr>
        <w:t>Table 7</w:t>
      </w:r>
      <w:r>
        <w:rPr>
          <w:rFonts w:eastAsia="Times New Roman"/>
          <w:lang w:val="en-US"/>
        </w:rPr>
        <w:t>.</w:t>
      </w:r>
      <w:r w:rsidRPr="00A82A47">
        <w:rPr>
          <w:rFonts w:eastAsia="Times New Roman"/>
        </w:rPr>
        <w:t xml:space="preserve">  Primary Cooking Fuel</w:t>
      </w:r>
    </w:p>
    <w:tbl>
      <w:tblPr>
        <w:tblW w:w="9558" w:type="dxa"/>
        <w:jc w:val="center"/>
        <w:tblCellSpacing w:w="15" w:type="dxa"/>
        <w:tblCellMar>
          <w:top w:w="15" w:type="dxa"/>
          <w:left w:w="15" w:type="dxa"/>
          <w:bottom w:w="15" w:type="dxa"/>
          <w:right w:w="15" w:type="dxa"/>
        </w:tblCellMar>
        <w:tblLook w:val="04A0" w:firstRow="1" w:lastRow="0" w:firstColumn="1" w:lastColumn="0" w:noHBand="0" w:noVBand="1"/>
      </w:tblPr>
      <w:tblGrid>
        <w:gridCol w:w="5220"/>
        <w:gridCol w:w="2790"/>
        <w:gridCol w:w="1548"/>
      </w:tblGrid>
      <w:tr w:rsidR="00A82A47" w:rsidRPr="00A82A47" w14:paraId="1C0E68EC" w14:textId="77777777" w:rsidTr="0075339A">
        <w:trPr>
          <w:tblHeader/>
          <w:tblCellSpacing w:w="15" w:type="dxa"/>
          <w:jc w:val="center"/>
        </w:trPr>
        <w:tc>
          <w:tcPr>
            <w:tcW w:w="5175" w:type="dxa"/>
            <w:tcBorders>
              <w:top w:val="single" w:sz="4" w:space="0" w:color="auto"/>
            </w:tcBorders>
            <w:vAlign w:val="center"/>
            <w:hideMark/>
          </w:tcPr>
          <w:p w14:paraId="1FEBC18E" w14:textId="77777777" w:rsidR="00A82A47" w:rsidRPr="00A82A47" w:rsidRDefault="00A82A47" w:rsidP="0075339A">
            <w:pPr>
              <w:jc w:val="both"/>
              <w:rPr>
                <w:rFonts w:eastAsia="Times New Roman"/>
              </w:rPr>
            </w:pPr>
            <w:r w:rsidRPr="00A82A47">
              <w:rPr>
                <w:rFonts w:eastAsia="Times New Roman"/>
              </w:rPr>
              <w:t>Fuel Type</w:t>
            </w:r>
          </w:p>
        </w:tc>
        <w:tc>
          <w:tcPr>
            <w:tcW w:w="2760" w:type="dxa"/>
            <w:tcBorders>
              <w:top w:val="single" w:sz="4" w:space="0" w:color="auto"/>
            </w:tcBorders>
            <w:vAlign w:val="center"/>
            <w:hideMark/>
          </w:tcPr>
          <w:p w14:paraId="326D3117" w14:textId="77777777" w:rsidR="00A82A47" w:rsidRPr="00A82A47" w:rsidRDefault="00A82A47" w:rsidP="0075339A">
            <w:pPr>
              <w:jc w:val="both"/>
              <w:rPr>
                <w:rFonts w:eastAsia="Times New Roman"/>
              </w:rPr>
            </w:pPr>
            <w:r w:rsidRPr="00A82A47">
              <w:rPr>
                <w:rFonts w:eastAsia="Times New Roman"/>
              </w:rPr>
              <w:t>Frequency</w:t>
            </w:r>
          </w:p>
        </w:tc>
        <w:tc>
          <w:tcPr>
            <w:tcW w:w="0" w:type="auto"/>
            <w:tcBorders>
              <w:top w:val="single" w:sz="4" w:space="0" w:color="auto"/>
            </w:tcBorders>
            <w:vAlign w:val="center"/>
            <w:hideMark/>
          </w:tcPr>
          <w:p w14:paraId="2201044B" w14:textId="77777777" w:rsidR="00A82A47" w:rsidRPr="00A82A47" w:rsidRDefault="00A82A47" w:rsidP="0075339A">
            <w:pPr>
              <w:jc w:val="both"/>
              <w:rPr>
                <w:rFonts w:eastAsia="Times New Roman"/>
              </w:rPr>
            </w:pPr>
            <w:r w:rsidRPr="00A82A47">
              <w:rPr>
                <w:rFonts w:eastAsia="Times New Roman"/>
              </w:rPr>
              <w:t>Percentage (%)</w:t>
            </w:r>
          </w:p>
        </w:tc>
      </w:tr>
      <w:tr w:rsidR="00A82A47" w:rsidRPr="00A82A47" w14:paraId="116CF545" w14:textId="77777777" w:rsidTr="0075339A">
        <w:trPr>
          <w:tblCellSpacing w:w="15" w:type="dxa"/>
          <w:jc w:val="center"/>
        </w:trPr>
        <w:tc>
          <w:tcPr>
            <w:tcW w:w="5175" w:type="dxa"/>
            <w:tcBorders>
              <w:top w:val="single" w:sz="4" w:space="0" w:color="auto"/>
            </w:tcBorders>
            <w:vAlign w:val="center"/>
            <w:hideMark/>
          </w:tcPr>
          <w:p w14:paraId="6FDBD7A2" w14:textId="77777777" w:rsidR="00A82A47" w:rsidRPr="00A82A47" w:rsidRDefault="00A82A47" w:rsidP="00A82A47">
            <w:pPr>
              <w:rPr>
                <w:rFonts w:eastAsia="Times New Roman"/>
              </w:rPr>
            </w:pPr>
            <w:r w:rsidRPr="00A82A47">
              <w:rPr>
                <w:rFonts w:eastAsia="Times New Roman"/>
              </w:rPr>
              <w:t>Firewood</w:t>
            </w:r>
          </w:p>
        </w:tc>
        <w:tc>
          <w:tcPr>
            <w:tcW w:w="2760" w:type="dxa"/>
            <w:tcBorders>
              <w:top w:val="single" w:sz="4" w:space="0" w:color="auto"/>
            </w:tcBorders>
            <w:vAlign w:val="center"/>
            <w:hideMark/>
          </w:tcPr>
          <w:p w14:paraId="5FEC6101" w14:textId="77777777" w:rsidR="00A82A47" w:rsidRPr="00A82A47" w:rsidRDefault="00A82A47" w:rsidP="00A82A47">
            <w:pPr>
              <w:rPr>
                <w:rFonts w:eastAsia="Times New Roman"/>
              </w:rPr>
            </w:pPr>
            <w:r w:rsidRPr="00A82A47">
              <w:rPr>
                <w:rFonts w:eastAsia="Times New Roman"/>
              </w:rPr>
              <w:t>294</w:t>
            </w:r>
          </w:p>
        </w:tc>
        <w:tc>
          <w:tcPr>
            <w:tcW w:w="0" w:type="auto"/>
            <w:tcBorders>
              <w:top w:val="single" w:sz="4" w:space="0" w:color="auto"/>
            </w:tcBorders>
            <w:vAlign w:val="center"/>
            <w:hideMark/>
          </w:tcPr>
          <w:p w14:paraId="0A5246A6" w14:textId="77777777" w:rsidR="00A82A47" w:rsidRPr="00A82A47" w:rsidRDefault="00A82A47" w:rsidP="00A82A47">
            <w:pPr>
              <w:rPr>
                <w:rFonts w:eastAsia="Times New Roman"/>
              </w:rPr>
            </w:pPr>
            <w:r w:rsidRPr="00A82A47">
              <w:rPr>
                <w:rFonts w:eastAsia="Times New Roman"/>
              </w:rPr>
              <w:t>72.6</w:t>
            </w:r>
          </w:p>
        </w:tc>
      </w:tr>
      <w:tr w:rsidR="00A82A47" w:rsidRPr="00A82A47" w14:paraId="401DBC5B" w14:textId="77777777" w:rsidTr="0075339A">
        <w:trPr>
          <w:tblCellSpacing w:w="15" w:type="dxa"/>
          <w:jc w:val="center"/>
        </w:trPr>
        <w:tc>
          <w:tcPr>
            <w:tcW w:w="5175" w:type="dxa"/>
            <w:vAlign w:val="center"/>
            <w:hideMark/>
          </w:tcPr>
          <w:p w14:paraId="1C0A1CEE" w14:textId="77777777" w:rsidR="00A82A47" w:rsidRPr="00A82A47" w:rsidRDefault="00A82A47" w:rsidP="00A82A47">
            <w:pPr>
              <w:rPr>
                <w:rFonts w:eastAsia="Times New Roman"/>
              </w:rPr>
            </w:pPr>
            <w:r w:rsidRPr="00A82A47">
              <w:rPr>
                <w:rFonts w:eastAsia="Times New Roman"/>
              </w:rPr>
              <w:t>Charcoal</w:t>
            </w:r>
          </w:p>
        </w:tc>
        <w:tc>
          <w:tcPr>
            <w:tcW w:w="2760" w:type="dxa"/>
            <w:vAlign w:val="center"/>
            <w:hideMark/>
          </w:tcPr>
          <w:p w14:paraId="4B04872A" w14:textId="77777777" w:rsidR="00A82A47" w:rsidRPr="00A82A47" w:rsidRDefault="00A82A47" w:rsidP="00A82A47">
            <w:pPr>
              <w:rPr>
                <w:rFonts w:eastAsia="Times New Roman"/>
              </w:rPr>
            </w:pPr>
            <w:r w:rsidRPr="00A82A47">
              <w:rPr>
                <w:rFonts w:eastAsia="Times New Roman"/>
              </w:rPr>
              <w:t>54</w:t>
            </w:r>
          </w:p>
        </w:tc>
        <w:tc>
          <w:tcPr>
            <w:tcW w:w="0" w:type="auto"/>
            <w:vAlign w:val="center"/>
            <w:hideMark/>
          </w:tcPr>
          <w:p w14:paraId="07C232A6" w14:textId="77777777" w:rsidR="00A82A47" w:rsidRPr="00A82A47" w:rsidRDefault="00A82A47" w:rsidP="00A82A47">
            <w:pPr>
              <w:rPr>
                <w:rFonts w:eastAsia="Times New Roman"/>
              </w:rPr>
            </w:pPr>
            <w:r w:rsidRPr="00A82A47">
              <w:rPr>
                <w:rFonts w:eastAsia="Times New Roman"/>
              </w:rPr>
              <w:t>13.3</w:t>
            </w:r>
          </w:p>
        </w:tc>
      </w:tr>
      <w:tr w:rsidR="00A82A47" w:rsidRPr="00A82A47" w14:paraId="4F07BB0B" w14:textId="77777777" w:rsidTr="0075339A">
        <w:trPr>
          <w:tblCellSpacing w:w="15" w:type="dxa"/>
          <w:jc w:val="center"/>
        </w:trPr>
        <w:tc>
          <w:tcPr>
            <w:tcW w:w="5175" w:type="dxa"/>
            <w:vAlign w:val="center"/>
            <w:hideMark/>
          </w:tcPr>
          <w:p w14:paraId="4FCFD5C9" w14:textId="77777777" w:rsidR="00A82A47" w:rsidRPr="00A82A47" w:rsidRDefault="00A82A47" w:rsidP="00A82A47">
            <w:pPr>
              <w:rPr>
                <w:rFonts w:eastAsia="Times New Roman"/>
              </w:rPr>
            </w:pPr>
            <w:r w:rsidRPr="00A82A47">
              <w:rPr>
                <w:rFonts w:eastAsia="Times New Roman"/>
              </w:rPr>
              <w:t>Kerosene</w:t>
            </w:r>
          </w:p>
        </w:tc>
        <w:tc>
          <w:tcPr>
            <w:tcW w:w="2760" w:type="dxa"/>
            <w:vAlign w:val="center"/>
            <w:hideMark/>
          </w:tcPr>
          <w:p w14:paraId="73495AFB" w14:textId="77777777" w:rsidR="00A82A47" w:rsidRPr="00A82A47" w:rsidRDefault="00A82A47" w:rsidP="00A82A47">
            <w:pPr>
              <w:rPr>
                <w:rFonts w:eastAsia="Times New Roman"/>
              </w:rPr>
            </w:pPr>
            <w:r w:rsidRPr="00A82A47">
              <w:rPr>
                <w:rFonts w:eastAsia="Times New Roman"/>
              </w:rPr>
              <w:t>26</w:t>
            </w:r>
          </w:p>
        </w:tc>
        <w:tc>
          <w:tcPr>
            <w:tcW w:w="0" w:type="auto"/>
            <w:vAlign w:val="center"/>
            <w:hideMark/>
          </w:tcPr>
          <w:p w14:paraId="60343CA7" w14:textId="77777777" w:rsidR="00A82A47" w:rsidRPr="00A82A47" w:rsidRDefault="00A82A47" w:rsidP="00A82A47">
            <w:pPr>
              <w:rPr>
                <w:rFonts w:eastAsia="Times New Roman"/>
              </w:rPr>
            </w:pPr>
            <w:r w:rsidRPr="00A82A47">
              <w:rPr>
                <w:rFonts w:eastAsia="Times New Roman"/>
              </w:rPr>
              <w:t>6.4</w:t>
            </w:r>
          </w:p>
        </w:tc>
      </w:tr>
      <w:tr w:rsidR="00A82A47" w:rsidRPr="00A82A47" w14:paraId="43268849" w14:textId="77777777" w:rsidTr="0075339A">
        <w:trPr>
          <w:tblCellSpacing w:w="15" w:type="dxa"/>
          <w:jc w:val="center"/>
        </w:trPr>
        <w:tc>
          <w:tcPr>
            <w:tcW w:w="5175" w:type="dxa"/>
            <w:vAlign w:val="center"/>
            <w:hideMark/>
          </w:tcPr>
          <w:p w14:paraId="769F6FCE" w14:textId="77777777" w:rsidR="00A82A47" w:rsidRPr="00A82A47" w:rsidRDefault="00A82A47" w:rsidP="00A82A47">
            <w:pPr>
              <w:rPr>
                <w:rFonts w:eastAsia="Times New Roman"/>
              </w:rPr>
            </w:pPr>
            <w:r w:rsidRPr="00A82A47">
              <w:rPr>
                <w:rFonts w:eastAsia="Times New Roman"/>
              </w:rPr>
              <w:t>LPG</w:t>
            </w:r>
          </w:p>
        </w:tc>
        <w:tc>
          <w:tcPr>
            <w:tcW w:w="2760" w:type="dxa"/>
            <w:vAlign w:val="center"/>
            <w:hideMark/>
          </w:tcPr>
          <w:p w14:paraId="5D9137BB" w14:textId="77777777" w:rsidR="00A82A47" w:rsidRPr="00A82A47" w:rsidRDefault="00A82A47" w:rsidP="00A82A47">
            <w:pPr>
              <w:rPr>
                <w:rFonts w:eastAsia="Times New Roman"/>
              </w:rPr>
            </w:pPr>
            <w:r w:rsidRPr="00A82A47">
              <w:rPr>
                <w:rFonts w:eastAsia="Times New Roman"/>
              </w:rPr>
              <w:t>21</w:t>
            </w:r>
          </w:p>
        </w:tc>
        <w:tc>
          <w:tcPr>
            <w:tcW w:w="0" w:type="auto"/>
            <w:vAlign w:val="center"/>
            <w:hideMark/>
          </w:tcPr>
          <w:p w14:paraId="2713F18D" w14:textId="77777777" w:rsidR="00A82A47" w:rsidRPr="00A82A47" w:rsidRDefault="00A82A47" w:rsidP="00A82A47">
            <w:pPr>
              <w:rPr>
                <w:rFonts w:eastAsia="Times New Roman"/>
              </w:rPr>
            </w:pPr>
            <w:r w:rsidRPr="00A82A47">
              <w:rPr>
                <w:rFonts w:eastAsia="Times New Roman"/>
              </w:rPr>
              <w:t>5.2</w:t>
            </w:r>
          </w:p>
        </w:tc>
      </w:tr>
      <w:tr w:rsidR="00A82A47" w:rsidRPr="00A82A47" w14:paraId="116A59DF" w14:textId="77777777" w:rsidTr="0075339A">
        <w:trPr>
          <w:tblCellSpacing w:w="15" w:type="dxa"/>
          <w:jc w:val="center"/>
        </w:trPr>
        <w:tc>
          <w:tcPr>
            <w:tcW w:w="5175" w:type="dxa"/>
            <w:vAlign w:val="center"/>
            <w:hideMark/>
          </w:tcPr>
          <w:p w14:paraId="38473F19" w14:textId="77777777" w:rsidR="00A82A47" w:rsidRPr="00A82A47" w:rsidRDefault="00A82A47" w:rsidP="00A82A47">
            <w:pPr>
              <w:rPr>
                <w:rFonts w:eastAsia="Times New Roman"/>
              </w:rPr>
            </w:pPr>
            <w:r w:rsidRPr="00A82A47">
              <w:rPr>
                <w:rFonts w:eastAsia="Times New Roman"/>
              </w:rPr>
              <w:t>Electricity</w:t>
            </w:r>
          </w:p>
        </w:tc>
        <w:tc>
          <w:tcPr>
            <w:tcW w:w="2760" w:type="dxa"/>
            <w:vAlign w:val="center"/>
            <w:hideMark/>
          </w:tcPr>
          <w:p w14:paraId="204C6F1C" w14:textId="77777777" w:rsidR="00A82A47" w:rsidRPr="00A82A47" w:rsidRDefault="00A82A47" w:rsidP="00A82A47">
            <w:pPr>
              <w:rPr>
                <w:rFonts w:eastAsia="Times New Roman"/>
              </w:rPr>
            </w:pPr>
            <w:r w:rsidRPr="00A82A47">
              <w:rPr>
                <w:rFonts w:eastAsia="Times New Roman"/>
              </w:rPr>
              <w:t>10</w:t>
            </w:r>
          </w:p>
        </w:tc>
        <w:tc>
          <w:tcPr>
            <w:tcW w:w="0" w:type="auto"/>
            <w:vAlign w:val="center"/>
            <w:hideMark/>
          </w:tcPr>
          <w:p w14:paraId="2F4F5486" w14:textId="77777777" w:rsidR="00A82A47" w:rsidRPr="00A82A47" w:rsidRDefault="00A82A47" w:rsidP="00A82A47">
            <w:pPr>
              <w:rPr>
                <w:rFonts w:eastAsia="Times New Roman"/>
              </w:rPr>
            </w:pPr>
            <w:r w:rsidRPr="00A82A47">
              <w:rPr>
                <w:rFonts w:eastAsia="Times New Roman"/>
              </w:rPr>
              <w:t>2.5</w:t>
            </w:r>
          </w:p>
        </w:tc>
      </w:tr>
      <w:tr w:rsidR="00A82A47" w:rsidRPr="00A82A47" w14:paraId="32BA87E2" w14:textId="77777777" w:rsidTr="0075339A">
        <w:trPr>
          <w:tblCellSpacing w:w="15" w:type="dxa"/>
          <w:jc w:val="center"/>
        </w:trPr>
        <w:tc>
          <w:tcPr>
            <w:tcW w:w="5175" w:type="dxa"/>
            <w:tcBorders>
              <w:bottom w:val="single" w:sz="4" w:space="0" w:color="auto"/>
            </w:tcBorders>
            <w:vAlign w:val="center"/>
            <w:hideMark/>
          </w:tcPr>
          <w:p w14:paraId="3806748A" w14:textId="77777777" w:rsidR="00A82A47" w:rsidRPr="00A82A47" w:rsidRDefault="00A82A47" w:rsidP="00A82A47">
            <w:pPr>
              <w:rPr>
                <w:rFonts w:eastAsia="Times New Roman"/>
              </w:rPr>
            </w:pPr>
            <w:r w:rsidRPr="00A82A47">
              <w:rPr>
                <w:rFonts w:eastAsia="Times New Roman"/>
              </w:rPr>
              <w:t>Total</w:t>
            </w:r>
          </w:p>
        </w:tc>
        <w:tc>
          <w:tcPr>
            <w:tcW w:w="2760" w:type="dxa"/>
            <w:tcBorders>
              <w:bottom w:val="single" w:sz="4" w:space="0" w:color="auto"/>
            </w:tcBorders>
            <w:vAlign w:val="center"/>
            <w:hideMark/>
          </w:tcPr>
          <w:p w14:paraId="6AB19245" w14:textId="77777777" w:rsidR="00A82A47" w:rsidRPr="00A82A47" w:rsidRDefault="00A82A47" w:rsidP="00A82A47">
            <w:pPr>
              <w:rPr>
                <w:rFonts w:eastAsia="Times New Roman"/>
              </w:rPr>
            </w:pPr>
            <w:r w:rsidRPr="00A82A47">
              <w:rPr>
                <w:rFonts w:eastAsia="Times New Roman"/>
              </w:rPr>
              <w:t>405</w:t>
            </w:r>
          </w:p>
        </w:tc>
        <w:tc>
          <w:tcPr>
            <w:tcW w:w="0" w:type="auto"/>
            <w:tcBorders>
              <w:bottom w:val="single" w:sz="4" w:space="0" w:color="auto"/>
            </w:tcBorders>
            <w:vAlign w:val="center"/>
            <w:hideMark/>
          </w:tcPr>
          <w:p w14:paraId="39454D7D" w14:textId="77777777" w:rsidR="00A82A47" w:rsidRPr="00A82A47" w:rsidRDefault="00A82A47" w:rsidP="00A82A47">
            <w:pPr>
              <w:rPr>
                <w:rFonts w:eastAsia="Times New Roman"/>
              </w:rPr>
            </w:pPr>
            <w:r w:rsidRPr="00A82A47">
              <w:rPr>
                <w:rFonts w:eastAsia="Times New Roman"/>
              </w:rPr>
              <w:t>100.0</w:t>
            </w:r>
          </w:p>
        </w:tc>
      </w:tr>
    </w:tbl>
    <w:p w14:paraId="39076A43" w14:textId="77777777" w:rsidR="00A82A47" w:rsidRDefault="00A82A47" w:rsidP="00A82A47">
      <w:pPr>
        <w:jc w:val="both"/>
        <w:rPr>
          <w:rFonts w:eastAsia="Times New Roman"/>
        </w:rPr>
      </w:pPr>
    </w:p>
    <w:p w14:paraId="38FBA9EA" w14:textId="6718AF3B" w:rsidR="00A82A47" w:rsidRPr="00A82A47" w:rsidRDefault="00A82A47" w:rsidP="00A82A47">
      <w:pPr>
        <w:ind w:firstLine="720"/>
        <w:jc w:val="both"/>
        <w:rPr>
          <w:rFonts w:eastAsia="Times New Roman"/>
        </w:rPr>
      </w:pPr>
      <w:r w:rsidRPr="00A82A47">
        <w:rPr>
          <w:rFonts w:eastAsia="Times New Roman"/>
        </w:rPr>
        <w:t>The majority (72.6%) of households used firewood as their primary cooking fuel, indicating a high dependence on biomass fuels.</w:t>
      </w:r>
    </w:p>
    <w:p w14:paraId="02C4135C" w14:textId="77777777" w:rsidR="00A82A47" w:rsidRDefault="00A82A47" w:rsidP="00A82A47">
      <w:pPr>
        <w:outlineLvl w:val="2"/>
        <w:rPr>
          <w:rFonts w:eastAsia="Times New Roman"/>
        </w:rPr>
      </w:pPr>
    </w:p>
    <w:p w14:paraId="29B2546B" w14:textId="39683546" w:rsidR="00A82A47" w:rsidRPr="00A82A47" w:rsidRDefault="00A82A47" w:rsidP="00A82A47">
      <w:pPr>
        <w:jc w:val="center"/>
        <w:outlineLvl w:val="2"/>
        <w:rPr>
          <w:rFonts w:eastAsia="Times New Roman"/>
        </w:rPr>
      </w:pPr>
      <w:r w:rsidRPr="00A82A47">
        <w:rPr>
          <w:rFonts w:eastAsia="Times New Roman"/>
        </w:rPr>
        <w:t>Table 8</w:t>
      </w:r>
      <w:r>
        <w:rPr>
          <w:rFonts w:eastAsia="Times New Roman"/>
          <w:lang w:val="en-US"/>
        </w:rPr>
        <w:t>.</w:t>
      </w:r>
      <w:r w:rsidRPr="00A82A47">
        <w:rPr>
          <w:rFonts w:eastAsia="Times New Roman"/>
        </w:rPr>
        <w:t xml:space="preserve"> Cooking Location</w:t>
      </w:r>
    </w:p>
    <w:tbl>
      <w:tblPr>
        <w:tblW w:w="9468" w:type="dxa"/>
        <w:jc w:val="center"/>
        <w:tblCellSpacing w:w="15" w:type="dxa"/>
        <w:tblCellMar>
          <w:top w:w="15" w:type="dxa"/>
          <w:left w:w="15" w:type="dxa"/>
          <w:bottom w:w="15" w:type="dxa"/>
          <w:right w:w="15" w:type="dxa"/>
        </w:tblCellMar>
        <w:tblLook w:val="04A0" w:firstRow="1" w:lastRow="0" w:firstColumn="1" w:lastColumn="0" w:noHBand="0" w:noVBand="1"/>
      </w:tblPr>
      <w:tblGrid>
        <w:gridCol w:w="3960"/>
        <w:gridCol w:w="3960"/>
        <w:gridCol w:w="1548"/>
      </w:tblGrid>
      <w:tr w:rsidR="00A82A47" w:rsidRPr="00A82A47" w14:paraId="3CFB1F5E" w14:textId="77777777" w:rsidTr="0075339A">
        <w:trPr>
          <w:tblHeader/>
          <w:tblCellSpacing w:w="15" w:type="dxa"/>
          <w:jc w:val="center"/>
        </w:trPr>
        <w:tc>
          <w:tcPr>
            <w:tcW w:w="3915" w:type="dxa"/>
            <w:tcBorders>
              <w:top w:val="single" w:sz="4" w:space="0" w:color="auto"/>
            </w:tcBorders>
            <w:vAlign w:val="center"/>
            <w:hideMark/>
          </w:tcPr>
          <w:p w14:paraId="395D619E" w14:textId="77777777" w:rsidR="00A82A47" w:rsidRPr="00A82A47" w:rsidRDefault="00A82A47" w:rsidP="00A82A47">
            <w:pPr>
              <w:jc w:val="center"/>
              <w:rPr>
                <w:rFonts w:eastAsia="Times New Roman"/>
              </w:rPr>
            </w:pPr>
            <w:r w:rsidRPr="00A82A47">
              <w:rPr>
                <w:rFonts w:eastAsia="Times New Roman"/>
              </w:rPr>
              <w:t>Cooking Location</w:t>
            </w:r>
          </w:p>
        </w:tc>
        <w:tc>
          <w:tcPr>
            <w:tcW w:w="3930" w:type="dxa"/>
            <w:tcBorders>
              <w:top w:val="single" w:sz="4" w:space="0" w:color="auto"/>
            </w:tcBorders>
            <w:vAlign w:val="center"/>
            <w:hideMark/>
          </w:tcPr>
          <w:p w14:paraId="4E76AE95" w14:textId="77777777" w:rsidR="00A82A47" w:rsidRPr="00A82A47" w:rsidRDefault="00A82A47" w:rsidP="00A82A47">
            <w:pPr>
              <w:jc w:val="center"/>
              <w:rPr>
                <w:rFonts w:eastAsia="Times New Roman"/>
              </w:rPr>
            </w:pPr>
            <w:r w:rsidRPr="00A82A47">
              <w:rPr>
                <w:rFonts w:eastAsia="Times New Roman"/>
              </w:rPr>
              <w:t>Frequency</w:t>
            </w:r>
          </w:p>
        </w:tc>
        <w:tc>
          <w:tcPr>
            <w:tcW w:w="0" w:type="auto"/>
            <w:tcBorders>
              <w:top w:val="single" w:sz="4" w:space="0" w:color="auto"/>
            </w:tcBorders>
            <w:vAlign w:val="center"/>
            <w:hideMark/>
          </w:tcPr>
          <w:p w14:paraId="3A146F35" w14:textId="77777777" w:rsidR="00A82A47" w:rsidRPr="00A82A47" w:rsidRDefault="00A82A47" w:rsidP="00A82A47">
            <w:pPr>
              <w:jc w:val="center"/>
              <w:rPr>
                <w:rFonts w:eastAsia="Times New Roman"/>
              </w:rPr>
            </w:pPr>
            <w:r w:rsidRPr="00A82A47">
              <w:rPr>
                <w:rFonts w:eastAsia="Times New Roman"/>
              </w:rPr>
              <w:t>Percentage (%)</w:t>
            </w:r>
          </w:p>
        </w:tc>
      </w:tr>
      <w:tr w:rsidR="00A82A47" w:rsidRPr="00A82A47" w14:paraId="7221D590" w14:textId="77777777" w:rsidTr="0075339A">
        <w:trPr>
          <w:tblCellSpacing w:w="15" w:type="dxa"/>
          <w:jc w:val="center"/>
        </w:trPr>
        <w:tc>
          <w:tcPr>
            <w:tcW w:w="3915" w:type="dxa"/>
            <w:tcBorders>
              <w:top w:val="single" w:sz="4" w:space="0" w:color="auto"/>
            </w:tcBorders>
            <w:vAlign w:val="center"/>
            <w:hideMark/>
          </w:tcPr>
          <w:p w14:paraId="08EF2E32" w14:textId="77777777" w:rsidR="00A82A47" w:rsidRPr="00A82A47" w:rsidRDefault="00A82A47" w:rsidP="00A82A47">
            <w:pPr>
              <w:rPr>
                <w:rFonts w:eastAsia="Times New Roman"/>
              </w:rPr>
            </w:pPr>
            <w:r w:rsidRPr="00A82A47">
              <w:rPr>
                <w:rFonts w:eastAsia="Times New Roman"/>
              </w:rPr>
              <w:t>Indoor Kitchen</w:t>
            </w:r>
          </w:p>
        </w:tc>
        <w:tc>
          <w:tcPr>
            <w:tcW w:w="3930" w:type="dxa"/>
            <w:tcBorders>
              <w:top w:val="single" w:sz="4" w:space="0" w:color="auto"/>
            </w:tcBorders>
            <w:vAlign w:val="center"/>
            <w:hideMark/>
          </w:tcPr>
          <w:p w14:paraId="5ACBEDDC" w14:textId="77777777" w:rsidR="00A82A47" w:rsidRPr="00A82A47" w:rsidRDefault="00A82A47" w:rsidP="00A82A47">
            <w:pPr>
              <w:rPr>
                <w:rFonts w:eastAsia="Times New Roman"/>
              </w:rPr>
            </w:pPr>
            <w:r w:rsidRPr="00A82A47">
              <w:rPr>
                <w:rFonts w:eastAsia="Times New Roman"/>
              </w:rPr>
              <w:t>289</w:t>
            </w:r>
          </w:p>
        </w:tc>
        <w:tc>
          <w:tcPr>
            <w:tcW w:w="0" w:type="auto"/>
            <w:tcBorders>
              <w:top w:val="single" w:sz="4" w:space="0" w:color="auto"/>
            </w:tcBorders>
            <w:vAlign w:val="center"/>
            <w:hideMark/>
          </w:tcPr>
          <w:p w14:paraId="5C70E584" w14:textId="77777777" w:rsidR="00A82A47" w:rsidRPr="00A82A47" w:rsidRDefault="00A82A47" w:rsidP="00A82A47">
            <w:pPr>
              <w:rPr>
                <w:rFonts w:eastAsia="Times New Roman"/>
              </w:rPr>
            </w:pPr>
            <w:r w:rsidRPr="00A82A47">
              <w:rPr>
                <w:rFonts w:eastAsia="Times New Roman"/>
              </w:rPr>
              <w:t>71.4</w:t>
            </w:r>
          </w:p>
        </w:tc>
      </w:tr>
      <w:tr w:rsidR="00A82A47" w:rsidRPr="00A82A47" w14:paraId="14269DFA" w14:textId="77777777" w:rsidTr="0075339A">
        <w:trPr>
          <w:tblCellSpacing w:w="15" w:type="dxa"/>
          <w:jc w:val="center"/>
        </w:trPr>
        <w:tc>
          <w:tcPr>
            <w:tcW w:w="3915" w:type="dxa"/>
            <w:vAlign w:val="center"/>
            <w:hideMark/>
          </w:tcPr>
          <w:p w14:paraId="170AE2A3" w14:textId="77777777" w:rsidR="00A82A47" w:rsidRPr="00A82A47" w:rsidRDefault="00A82A47" w:rsidP="00A82A47">
            <w:pPr>
              <w:rPr>
                <w:rFonts w:eastAsia="Times New Roman"/>
              </w:rPr>
            </w:pPr>
            <w:r w:rsidRPr="00A82A47">
              <w:rPr>
                <w:rFonts w:eastAsia="Times New Roman"/>
              </w:rPr>
              <w:t>Outdoor Kitchen</w:t>
            </w:r>
          </w:p>
        </w:tc>
        <w:tc>
          <w:tcPr>
            <w:tcW w:w="3930" w:type="dxa"/>
            <w:vAlign w:val="center"/>
            <w:hideMark/>
          </w:tcPr>
          <w:p w14:paraId="17A53B4B" w14:textId="77777777" w:rsidR="00A82A47" w:rsidRPr="00A82A47" w:rsidRDefault="00A82A47" w:rsidP="00A82A47">
            <w:pPr>
              <w:rPr>
                <w:rFonts w:eastAsia="Times New Roman"/>
              </w:rPr>
            </w:pPr>
            <w:r w:rsidRPr="00A82A47">
              <w:rPr>
                <w:rFonts w:eastAsia="Times New Roman"/>
              </w:rPr>
              <w:t>116</w:t>
            </w:r>
          </w:p>
        </w:tc>
        <w:tc>
          <w:tcPr>
            <w:tcW w:w="0" w:type="auto"/>
            <w:vAlign w:val="center"/>
            <w:hideMark/>
          </w:tcPr>
          <w:p w14:paraId="38E068F0" w14:textId="77777777" w:rsidR="00A82A47" w:rsidRPr="00A82A47" w:rsidRDefault="00A82A47" w:rsidP="00A82A47">
            <w:pPr>
              <w:rPr>
                <w:rFonts w:eastAsia="Times New Roman"/>
              </w:rPr>
            </w:pPr>
            <w:r w:rsidRPr="00A82A47">
              <w:rPr>
                <w:rFonts w:eastAsia="Times New Roman"/>
              </w:rPr>
              <w:t>28.6</w:t>
            </w:r>
          </w:p>
        </w:tc>
      </w:tr>
      <w:tr w:rsidR="00A82A47" w:rsidRPr="00A82A47" w14:paraId="1D4094C5" w14:textId="77777777" w:rsidTr="0075339A">
        <w:trPr>
          <w:tblCellSpacing w:w="15" w:type="dxa"/>
          <w:jc w:val="center"/>
        </w:trPr>
        <w:tc>
          <w:tcPr>
            <w:tcW w:w="3915" w:type="dxa"/>
            <w:tcBorders>
              <w:bottom w:val="single" w:sz="4" w:space="0" w:color="auto"/>
            </w:tcBorders>
            <w:vAlign w:val="center"/>
            <w:hideMark/>
          </w:tcPr>
          <w:p w14:paraId="28872AAE" w14:textId="77777777" w:rsidR="00A82A47" w:rsidRPr="00A82A47" w:rsidRDefault="00A82A47" w:rsidP="00A82A47">
            <w:pPr>
              <w:rPr>
                <w:rFonts w:eastAsia="Times New Roman"/>
              </w:rPr>
            </w:pPr>
            <w:r w:rsidRPr="00A82A47">
              <w:rPr>
                <w:rFonts w:eastAsia="Times New Roman"/>
              </w:rPr>
              <w:t>Total</w:t>
            </w:r>
          </w:p>
        </w:tc>
        <w:tc>
          <w:tcPr>
            <w:tcW w:w="3930" w:type="dxa"/>
            <w:tcBorders>
              <w:bottom w:val="single" w:sz="4" w:space="0" w:color="auto"/>
            </w:tcBorders>
            <w:vAlign w:val="center"/>
            <w:hideMark/>
          </w:tcPr>
          <w:p w14:paraId="647D2B27" w14:textId="77777777" w:rsidR="00A82A47" w:rsidRPr="00A82A47" w:rsidRDefault="00A82A47" w:rsidP="00A82A47">
            <w:pPr>
              <w:rPr>
                <w:rFonts w:eastAsia="Times New Roman"/>
              </w:rPr>
            </w:pPr>
            <w:r w:rsidRPr="00A82A47">
              <w:rPr>
                <w:rFonts w:eastAsia="Times New Roman"/>
              </w:rPr>
              <w:t>405</w:t>
            </w:r>
          </w:p>
        </w:tc>
        <w:tc>
          <w:tcPr>
            <w:tcW w:w="0" w:type="auto"/>
            <w:tcBorders>
              <w:bottom w:val="single" w:sz="4" w:space="0" w:color="auto"/>
            </w:tcBorders>
            <w:vAlign w:val="center"/>
            <w:hideMark/>
          </w:tcPr>
          <w:p w14:paraId="30ED5E1F" w14:textId="77777777" w:rsidR="00A82A47" w:rsidRPr="00A82A47" w:rsidRDefault="00A82A47" w:rsidP="00A82A47">
            <w:pPr>
              <w:rPr>
                <w:rFonts w:eastAsia="Times New Roman"/>
              </w:rPr>
            </w:pPr>
            <w:r w:rsidRPr="00A82A47">
              <w:rPr>
                <w:rFonts w:eastAsia="Times New Roman"/>
              </w:rPr>
              <w:t>100.0</w:t>
            </w:r>
          </w:p>
        </w:tc>
      </w:tr>
    </w:tbl>
    <w:p w14:paraId="5198044F" w14:textId="77777777" w:rsidR="00A82A47" w:rsidRPr="00A82A47" w:rsidRDefault="00A82A47" w:rsidP="00A82A47">
      <w:pPr>
        <w:rPr>
          <w:rFonts w:eastAsia="Times New Roman"/>
        </w:rPr>
      </w:pPr>
    </w:p>
    <w:p w14:paraId="7FD1287B" w14:textId="7304880D" w:rsidR="00A82A47" w:rsidRPr="00A82A47" w:rsidRDefault="00A82A47" w:rsidP="00A82A47">
      <w:pPr>
        <w:jc w:val="center"/>
        <w:outlineLvl w:val="2"/>
        <w:rPr>
          <w:rFonts w:eastAsia="Times New Roman"/>
        </w:rPr>
      </w:pPr>
      <w:r w:rsidRPr="00A82A47">
        <w:rPr>
          <w:rFonts w:eastAsia="Times New Roman"/>
        </w:rPr>
        <w:t>Table 9</w:t>
      </w:r>
      <w:r>
        <w:rPr>
          <w:rFonts w:eastAsia="Times New Roman"/>
          <w:lang w:val="en-US"/>
        </w:rPr>
        <w:t>.</w:t>
      </w:r>
      <w:r w:rsidRPr="00A82A47">
        <w:rPr>
          <w:rFonts w:eastAsia="Times New Roman"/>
        </w:rPr>
        <w:t xml:space="preserve">  Kitchen Ventilation</w:t>
      </w:r>
    </w:p>
    <w:tbl>
      <w:tblPr>
        <w:tblW w:w="9378" w:type="dxa"/>
        <w:jc w:val="center"/>
        <w:tblCellSpacing w:w="15" w:type="dxa"/>
        <w:tblCellMar>
          <w:top w:w="15" w:type="dxa"/>
          <w:left w:w="15" w:type="dxa"/>
          <w:bottom w:w="15" w:type="dxa"/>
          <w:right w:w="15" w:type="dxa"/>
        </w:tblCellMar>
        <w:tblLook w:val="04A0" w:firstRow="1" w:lastRow="0" w:firstColumn="1" w:lastColumn="0" w:noHBand="0" w:noVBand="1"/>
      </w:tblPr>
      <w:tblGrid>
        <w:gridCol w:w="4320"/>
        <w:gridCol w:w="3510"/>
        <w:gridCol w:w="1548"/>
      </w:tblGrid>
      <w:tr w:rsidR="00A82A47" w:rsidRPr="00A82A47" w14:paraId="2BEED9DA" w14:textId="77777777" w:rsidTr="0075339A">
        <w:trPr>
          <w:tblHeader/>
          <w:tblCellSpacing w:w="15" w:type="dxa"/>
          <w:jc w:val="center"/>
        </w:trPr>
        <w:tc>
          <w:tcPr>
            <w:tcW w:w="4275" w:type="dxa"/>
            <w:tcBorders>
              <w:top w:val="single" w:sz="4" w:space="0" w:color="auto"/>
            </w:tcBorders>
            <w:vAlign w:val="center"/>
            <w:hideMark/>
          </w:tcPr>
          <w:p w14:paraId="160AEC79" w14:textId="77777777" w:rsidR="00A82A47" w:rsidRPr="00A82A47" w:rsidRDefault="00A82A47" w:rsidP="0075339A">
            <w:pPr>
              <w:jc w:val="both"/>
              <w:rPr>
                <w:rFonts w:eastAsia="Times New Roman"/>
              </w:rPr>
            </w:pPr>
            <w:r w:rsidRPr="00A82A47">
              <w:rPr>
                <w:rFonts w:eastAsia="Times New Roman"/>
              </w:rPr>
              <w:t>Ventilation Status</w:t>
            </w:r>
          </w:p>
        </w:tc>
        <w:tc>
          <w:tcPr>
            <w:tcW w:w="3480" w:type="dxa"/>
            <w:tcBorders>
              <w:top w:val="single" w:sz="4" w:space="0" w:color="auto"/>
            </w:tcBorders>
            <w:vAlign w:val="center"/>
            <w:hideMark/>
          </w:tcPr>
          <w:p w14:paraId="3C1EA61D" w14:textId="77777777" w:rsidR="00A82A47" w:rsidRPr="00A82A47" w:rsidRDefault="00A82A47" w:rsidP="0075339A">
            <w:pPr>
              <w:jc w:val="both"/>
              <w:rPr>
                <w:rFonts w:eastAsia="Times New Roman"/>
              </w:rPr>
            </w:pPr>
            <w:r w:rsidRPr="00A82A47">
              <w:rPr>
                <w:rFonts w:eastAsia="Times New Roman"/>
              </w:rPr>
              <w:t>Frequency</w:t>
            </w:r>
          </w:p>
        </w:tc>
        <w:tc>
          <w:tcPr>
            <w:tcW w:w="0" w:type="auto"/>
            <w:tcBorders>
              <w:top w:val="single" w:sz="4" w:space="0" w:color="auto"/>
            </w:tcBorders>
            <w:vAlign w:val="center"/>
            <w:hideMark/>
          </w:tcPr>
          <w:p w14:paraId="7ED77D4C" w14:textId="77777777" w:rsidR="00A82A47" w:rsidRPr="00A82A47" w:rsidRDefault="00A82A47" w:rsidP="0075339A">
            <w:pPr>
              <w:jc w:val="both"/>
              <w:rPr>
                <w:rFonts w:eastAsia="Times New Roman"/>
              </w:rPr>
            </w:pPr>
            <w:r w:rsidRPr="00A82A47">
              <w:rPr>
                <w:rFonts w:eastAsia="Times New Roman"/>
              </w:rPr>
              <w:t>Percentage (%)</w:t>
            </w:r>
          </w:p>
        </w:tc>
      </w:tr>
      <w:tr w:rsidR="00A82A47" w:rsidRPr="00A82A47" w14:paraId="194FE6FF" w14:textId="77777777" w:rsidTr="0075339A">
        <w:trPr>
          <w:tblCellSpacing w:w="15" w:type="dxa"/>
          <w:jc w:val="center"/>
        </w:trPr>
        <w:tc>
          <w:tcPr>
            <w:tcW w:w="4275" w:type="dxa"/>
            <w:tcBorders>
              <w:top w:val="single" w:sz="4" w:space="0" w:color="auto"/>
            </w:tcBorders>
            <w:vAlign w:val="center"/>
            <w:hideMark/>
          </w:tcPr>
          <w:p w14:paraId="052842CF" w14:textId="77777777" w:rsidR="00A82A47" w:rsidRPr="00A82A47" w:rsidRDefault="00A82A47" w:rsidP="00A82A47">
            <w:pPr>
              <w:rPr>
                <w:rFonts w:eastAsia="Times New Roman"/>
              </w:rPr>
            </w:pPr>
            <w:r w:rsidRPr="00A82A47">
              <w:rPr>
                <w:rFonts w:eastAsia="Times New Roman"/>
              </w:rPr>
              <w:t>Adequate</w:t>
            </w:r>
          </w:p>
        </w:tc>
        <w:tc>
          <w:tcPr>
            <w:tcW w:w="3480" w:type="dxa"/>
            <w:tcBorders>
              <w:top w:val="single" w:sz="4" w:space="0" w:color="auto"/>
            </w:tcBorders>
            <w:vAlign w:val="center"/>
            <w:hideMark/>
          </w:tcPr>
          <w:p w14:paraId="7497C508" w14:textId="77777777" w:rsidR="00A82A47" w:rsidRPr="00A82A47" w:rsidRDefault="00A82A47" w:rsidP="00A82A47">
            <w:pPr>
              <w:rPr>
                <w:rFonts w:eastAsia="Times New Roman"/>
              </w:rPr>
            </w:pPr>
            <w:r w:rsidRPr="00A82A47">
              <w:rPr>
                <w:rFonts w:eastAsia="Times New Roman"/>
              </w:rPr>
              <w:t>132</w:t>
            </w:r>
          </w:p>
        </w:tc>
        <w:tc>
          <w:tcPr>
            <w:tcW w:w="0" w:type="auto"/>
            <w:tcBorders>
              <w:top w:val="single" w:sz="4" w:space="0" w:color="auto"/>
            </w:tcBorders>
            <w:vAlign w:val="center"/>
            <w:hideMark/>
          </w:tcPr>
          <w:p w14:paraId="7D6EA8D5" w14:textId="77777777" w:rsidR="00A82A47" w:rsidRPr="00A82A47" w:rsidRDefault="00A82A47" w:rsidP="00A82A47">
            <w:pPr>
              <w:rPr>
                <w:rFonts w:eastAsia="Times New Roman"/>
              </w:rPr>
            </w:pPr>
            <w:r w:rsidRPr="00A82A47">
              <w:rPr>
                <w:rFonts w:eastAsia="Times New Roman"/>
              </w:rPr>
              <w:t>32.6</w:t>
            </w:r>
          </w:p>
        </w:tc>
      </w:tr>
      <w:tr w:rsidR="00A82A47" w:rsidRPr="00A82A47" w14:paraId="547A188E" w14:textId="77777777" w:rsidTr="0075339A">
        <w:trPr>
          <w:tblCellSpacing w:w="15" w:type="dxa"/>
          <w:jc w:val="center"/>
        </w:trPr>
        <w:tc>
          <w:tcPr>
            <w:tcW w:w="4275" w:type="dxa"/>
            <w:vAlign w:val="center"/>
            <w:hideMark/>
          </w:tcPr>
          <w:p w14:paraId="295D829B" w14:textId="77777777" w:rsidR="00A82A47" w:rsidRPr="00A82A47" w:rsidRDefault="00A82A47" w:rsidP="00A82A47">
            <w:pPr>
              <w:rPr>
                <w:rFonts w:eastAsia="Times New Roman"/>
              </w:rPr>
            </w:pPr>
            <w:r w:rsidRPr="00A82A47">
              <w:rPr>
                <w:rFonts w:eastAsia="Times New Roman"/>
              </w:rPr>
              <w:t>Inadequate</w:t>
            </w:r>
          </w:p>
        </w:tc>
        <w:tc>
          <w:tcPr>
            <w:tcW w:w="3480" w:type="dxa"/>
            <w:vAlign w:val="center"/>
            <w:hideMark/>
          </w:tcPr>
          <w:p w14:paraId="0368301B" w14:textId="77777777" w:rsidR="00A82A47" w:rsidRPr="00A82A47" w:rsidRDefault="00A82A47" w:rsidP="00A82A47">
            <w:pPr>
              <w:rPr>
                <w:rFonts w:eastAsia="Times New Roman"/>
              </w:rPr>
            </w:pPr>
            <w:r w:rsidRPr="00A82A47">
              <w:rPr>
                <w:rFonts w:eastAsia="Times New Roman"/>
              </w:rPr>
              <w:t>273</w:t>
            </w:r>
          </w:p>
        </w:tc>
        <w:tc>
          <w:tcPr>
            <w:tcW w:w="0" w:type="auto"/>
            <w:vAlign w:val="center"/>
            <w:hideMark/>
          </w:tcPr>
          <w:p w14:paraId="4F0A2D56" w14:textId="77777777" w:rsidR="00A82A47" w:rsidRPr="00A82A47" w:rsidRDefault="00A82A47" w:rsidP="00A82A47">
            <w:pPr>
              <w:rPr>
                <w:rFonts w:eastAsia="Times New Roman"/>
              </w:rPr>
            </w:pPr>
            <w:r w:rsidRPr="00A82A47">
              <w:rPr>
                <w:rFonts w:eastAsia="Times New Roman"/>
              </w:rPr>
              <w:t>67.4</w:t>
            </w:r>
          </w:p>
        </w:tc>
      </w:tr>
      <w:tr w:rsidR="00A82A47" w:rsidRPr="00A82A47" w14:paraId="56C44BC2" w14:textId="77777777" w:rsidTr="0075339A">
        <w:trPr>
          <w:tblCellSpacing w:w="15" w:type="dxa"/>
          <w:jc w:val="center"/>
        </w:trPr>
        <w:tc>
          <w:tcPr>
            <w:tcW w:w="4275" w:type="dxa"/>
            <w:tcBorders>
              <w:bottom w:val="single" w:sz="4" w:space="0" w:color="auto"/>
            </w:tcBorders>
            <w:vAlign w:val="center"/>
            <w:hideMark/>
          </w:tcPr>
          <w:p w14:paraId="6B0CD108" w14:textId="77777777" w:rsidR="00A82A47" w:rsidRPr="00A82A47" w:rsidRDefault="00A82A47" w:rsidP="00A82A47">
            <w:pPr>
              <w:rPr>
                <w:rFonts w:eastAsia="Times New Roman"/>
              </w:rPr>
            </w:pPr>
            <w:r w:rsidRPr="00A82A47">
              <w:rPr>
                <w:rFonts w:eastAsia="Times New Roman"/>
              </w:rPr>
              <w:t>Total</w:t>
            </w:r>
          </w:p>
        </w:tc>
        <w:tc>
          <w:tcPr>
            <w:tcW w:w="3480" w:type="dxa"/>
            <w:tcBorders>
              <w:bottom w:val="single" w:sz="4" w:space="0" w:color="auto"/>
            </w:tcBorders>
            <w:vAlign w:val="center"/>
            <w:hideMark/>
          </w:tcPr>
          <w:p w14:paraId="65BC0AC1" w14:textId="77777777" w:rsidR="00A82A47" w:rsidRPr="00A82A47" w:rsidRDefault="00A82A47" w:rsidP="00A82A47">
            <w:pPr>
              <w:rPr>
                <w:rFonts w:eastAsia="Times New Roman"/>
              </w:rPr>
            </w:pPr>
            <w:r w:rsidRPr="00A82A47">
              <w:rPr>
                <w:rFonts w:eastAsia="Times New Roman"/>
              </w:rPr>
              <w:t>405</w:t>
            </w:r>
          </w:p>
        </w:tc>
        <w:tc>
          <w:tcPr>
            <w:tcW w:w="0" w:type="auto"/>
            <w:tcBorders>
              <w:bottom w:val="single" w:sz="4" w:space="0" w:color="auto"/>
            </w:tcBorders>
            <w:vAlign w:val="center"/>
            <w:hideMark/>
          </w:tcPr>
          <w:p w14:paraId="79F568D9" w14:textId="77777777" w:rsidR="00A82A47" w:rsidRPr="00A82A47" w:rsidRDefault="00A82A47" w:rsidP="00A82A47">
            <w:pPr>
              <w:rPr>
                <w:rFonts w:eastAsia="Times New Roman"/>
              </w:rPr>
            </w:pPr>
            <w:r w:rsidRPr="00A82A47">
              <w:rPr>
                <w:rFonts w:eastAsia="Times New Roman"/>
              </w:rPr>
              <w:t>100.0</w:t>
            </w:r>
          </w:p>
        </w:tc>
      </w:tr>
    </w:tbl>
    <w:p w14:paraId="447B9F20" w14:textId="77777777" w:rsidR="00A82A47" w:rsidRDefault="00A82A47" w:rsidP="00A82A47">
      <w:pPr>
        <w:outlineLvl w:val="0"/>
        <w:rPr>
          <w:rFonts w:eastAsia="Times New Roman"/>
          <w:kern w:val="36"/>
        </w:rPr>
      </w:pPr>
    </w:p>
    <w:p w14:paraId="439B464A" w14:textId="0FE44D71" w:rsidR="00A82A47" w:rsidRPr="00A82A47" w:rsidRDefault="00A82A47" w:rsidP="00A82A47">
      <w:pPr>
        <w:outlineLvl w:val="0"/>
        <w:rPr>
          <w:rFonts w:eastAsia="Times New Roman"/>
          <w:i/>
          <w:iCs/>
          <w:kern w:val="36"/>
        </w:rPr>
      </w:pPr>
      <w:r w:rsidRPr="00A82A47">
        <w:rPr>
          <w:rFonts w:eastAsia="Times New Roman"/>
          <w:i/>
          <w:iCs/>
          <w:kern w:val="36"/>
        </w:rPr>
        <w:t>Respiratory Symptoms</w:t>
      </w:r>
    </w:p>
    <w:p w14:paraId="36E4658B" w14:textId="320FB067" w:rsidR="00A82A47" w:rsidRPr="00A82A47" w:rsidRDefault="00A82A47" w:rsidP="001A407D">
      <w:pPr>
        <w:jc w:val="center"/>
        <w:outlineLvl w:val="2"/>
        <w:rPr>
          <w:rFonts w:eastAsia="Times New Roman"/>
        </w:rPr>
      </w:pPr>
      <w:r w:rsidRPr="00A82A47">
        <w:rPr>
          <w:rFonts w:eastAsia="Times New Roman"/>
        </w:rPr>
        <w:t>Table 10</w:t>
      </w:r>
      <w:r w:rsidR="001A407D">
        <w:rPr>
          <w:rFonts w:eastAsia="Times New Roman"/>
          <w:lang w:val="en-US"/>
        </w:rPr>
        <w:t>.</w:t>
      </w:r>
      <w:r w:rsidRPr="00A82A47">
        <w:rPr>
          <w:rFonts w:eastAsia="Times New Roman"/>
        </w:rPr>
        <w:t xml:space="preserve"> Reported Respiratory Symptoms</w:t>
      </w:r>
    </w:p>
    <w:tbl>
      <w:tblPr>
        <w:tblW w:w="9360" w:type="dxa"/>
        <w:jc w:val="center"/>
        <w:tblCellSpacing w:w="15" w:type="dxa"/>
        <w:tblCellMar>
          <w:top w:w="15" w:type="dxa"/>
          <w:left w:w="15" w:type="dxa"/>
          <w:bottom w:w="15" w:type="dxa"/>
          <w:right w:w="15" w:type="dxa"/>
        </w:tblCellMar>
        <w:tblLook w:val="04A0" w:firstRow="1" w:lastRow="0" w:firstColumn="1" w:lastColumn="0" w:noHBand="0" w:noVBand="1"/>
      </w:tblPr>
      <w:tblGrid>
        <w:gridCol w:w="3870"/>
        <w:gridCol w:w="3870"/>
        <w:gridCol w:w="1620"/>
      </w:tblGrid>
      <w:tr w:rsidR="00A82A47" w:rsidRPr="00A82A47" w14:paraId="39AEA150" w14:textId="77777777" w:rsidTr="0075339A">
        <w:trPr>
          <w:tblHeader/>
          <w:tblCellSpacing w:w="15" w:type="dxa"/>
          <w:jc w:val="center"/>
        </w:trPr>
        <w:tc>
          <w:tcPr>
            <w:tcW w:w="3825" w:type="dxa"/>
            <w:tcBorders>
              <w:top w:val="single" w:sz="4" w:space="0" w:color="auto"/>
            </w:tcBorders>
            <w:vAlign w:val="center"/>
            <w:hideMark/>
          </w:tcPr>
          <w:p w14:paraId="7318451C" w14:textId="77777777" w:rsidR="00A82A47" w:rsidRPr="00A82A47" w:rsidRDefault="00A82A47" w:rsidP="00A82A47">
            <w:pPr>
              <w:rPr>
                <w:rFonts w:eastAsia="Times New Roman"/>
              </w:rPr>
            </w:pPr>
            <w:r w:rsidRPr="00A82A47">
              <w:rPr>
                <w:rFonts w:eastAsia="Times New Roman"/>
              </w:rPr>
              <w:t>Symptom</w:t>
            </w:r>
          </w:p>
        </w:tc>
        <w:tc>
          <w:tcPr>
            <w:tcW w:w="3840" w:type="dxa"/>
            <w:tcBorders>
              <w:top w:val="single" w:sz="4" w:space="0" w:color="auto"/>
            </w:tcBorders>
            <w:vAlign w:val="center"/>
            <w:hideMark/>
          </w:tcPr>
          <w:p w14:paraId="0520252F" w14:textId="77777777" w:rsidR="00A82A47" w:rsidRPr="00A82A47" w:rsidRDefault="00A82A47" w:rsidP="00A82A47">
            <w:pPr>
              <w:rPr>
                <w:rFonts w:eastAsia="Times New Roman"/>
              </w:rPr>
            </w:pPr>
            <w:r w:rsidRPr="00A82A47">
              <w:rPr>
                <w:rFonts w:eastAsia="Times New Roman"/>
              </w:rPr>
              <w:t>Yes n (%)</w:t>
            </w:r>
          </w:p>
        </w:tc>
        <w:tc>
          <w:tcPr>
            <w:tcW w:w="1575" w:type="dxa"/>
            <w:tcBorders>
              <w:top w:val="single" w:sz="4" w:space="0" w:color="auto"/>
            </w:tcBorders>
            <w:vAlign w:val="center"/>
            <w:hideMark/>
          </w:tcPr>
          <w:p w14:paraId="3D3F1FAA" w14:textId="77777777" w:rsidR="00A82A47" w:rsidRPr="00A82A47" w:rsidRDefault="00A82A47" w:rsidP="00A82A47">
            <w:pPr>
              <w:jc w:val="center"/>
              <w:rPr>
                <w:rFonts w:eastAsia="Times New Roman"/>
              </w:rPr>
            </w:pPr>
            <w:r w:rsidRPr="00A82A47">
              <w:rPr>
                <w:rFonts w:eastAsia="Times New Roman"/>
              </w:rPr>
              <w:t>No n (%)</w:t>
            </w:r>
          </w:p>
        </w:tc>
      </w:tr>
      <w:tr w:rsidR="00A82A47" w:rsidRPr="00A82A47" w14:paraId="21ED1E74" w14:textId="77777777" w:rsidTr="0075339A">
        <w:trPr>
          <w:tblCellSpacing w:w="15" w:type="dxa"/>
          <w:jc w:val="center"/>
        </w:trPr>
        <w:tc>
          <w:tcPr>
            <w:tcW w:w="3825" w:type="dxa"/>
            <w:tcBorders>
              <w:top w:val="single" w:sz="4" w:space="0" w:color="auto"/>
            </w:tcBorders>
            <w:vAlign w:val="center"/>
            <w:hideMark/>
          </w:tcPr>
          <w:p w14:paraId="7B6F4AC2" w14:textId="77777777" w:rsidR="00A82A47" w:rsidRPr="00A82A47" w:rsidRDefault="00A82A47" w:rsidP="00A82A47">
            <w:pPr>
              <w:rPr>
                <w:rFonts w:eastAsia="Times New Roman"/>
              </w:rPr>
            </w:pPr>
            <w:r w:rsidRPr="00A82A47">
              <w:rPr>
                <w:rFonts w:eastAsia="Times New Roman"/>
              </w:rPr>
              <w:t>Persistent cough</w:t>
            </w:r>
          </w:p>
        </w:tc>
        <w:tc>
          <w:tcPr>
            <w:tcW w:w="3840" w:type="dxa"/>
            <w:tcBorders>
              <w:top w:val="single" w:sz="4" w:space="0" w:color="auto"/>
            </w:tcBorders>
            <w:vAlign w:val="center"/>
            <w:hideMark/>
          </w:tcPr>
          <w:p w14:paraId="7793E65D" w14:textId="77777777" w:rsidR="00A82A47" w:rsidRPr="00A82A47" w:rsidRDefault="00A82A47" w:rsidP="00A82A47">
            <w:pPr>
              <w:rPr>
                <w:rFonts w:eastAsia="Times New Roman"/>
              </w:rPr>
            </w:pPr>
            <w:r w:rsidRPr="00A82A47">
              <w:rPr>
                <w:rFonts w:eastAsia="Times New Roman"/>
              </w:rPr>
              <w:t>228 (56.3)</w:t>
            </w:r>
          </w:p>
        </w:tc>
        <w:tc>
          <w:tcPr>
            <w:tcW w:w="1575" w:type="dxa"/>
            <w:tcBorders>
              <w:top w:val="single" w:sz="4" w:space="0" w:color="auto"/>
            </w:tcBorders>
            <w:vAlign w:val="center"/>
            <w:hideMark/>
          </w:tcPr>
          <w:p w14:paraId="7FF98195" w14:textId="77777777" w:rsidR="00A82A47" w:rsidRPr="00A82A47" w:rsidRDefault="00A82A47" w:rsidP="00A82A47">
            <w:pPr>
              <w:rPr>
                <w:rFonts w:eastAsia="Times New Roman"/>
              </w:rPr>
            </w:pPr>
            <w:r w:rsidRPr="00A82A47">
              <w:rPr>
                <w:rFonts w:eastAsia="Times New Roman"/>
              </w:rPr>
              <w:t>177 (43.7)</w:t>
            </w:r>
          </w:p>
        </w:tc>
      </w:tr>
      <w:tr w:rsidR="00A82A47" w:rsidRPr="00A82A47" w14:paraId="0BEB1750" w14:textId="77777777" w:rsidTr="0075339A">
        <w:trPr>
          <w:tblCellSpacing w:w="15" w:type="dxa"/>
          <w:jc w:val="center"/>
        </w:trPr>
        <w:tc>
          <w:tcPr>
            <w:tcW w:w="3825" w:type="dxa"/>
            <w:vAlign w:val="center"/>
            <w:hideMark/>
          </w:tcPr>
          <w:p w14:paraId="20B5FC38" w14:textId="77777777" w:rsidR="00A82A47" w:rsidRPr="00A82A47" w:rsidRDefault="00A82A47" w:rsidP="00A82A47">
            <w:pPr>
              <w:rPr>
                <w:rFonts w:eastAsia="Times New Roman"/>
              </w:rPr>
            </w:pPr>
            <w:r w:rsidRPr="00A82A47">
              <w:rPr>
                <w:rFonts w:eastAsia="Times New Roman"/>
              </w:rPr>
              <w:t>Wheezing</w:t>
            </w:r>
          </w:p>
        </w:tc>
        <w:tc>
          <w:tcPr>
            <w:tcW w:w="3840" w:type="dxa"/>
            <w:vAlign w:val="center"/>
            <w:hideMark/>
          </w:tcPr>
          <w:p w14:paraId="0099AD0A" w14:textId="77777777" w:rsidR="00A82A47" w:rsidRPr="00A82A47" w:rsidRDefault="00A82A47" w:rsidP="00A82A47">
            <w:pPr>
              <w:rPr>
                <w:rFonts w:eastAsia="Times New Roman"/>
              </w:rPr>
            </w:pPr>
            <w:r w:rsidRPr="00A82A47">
              <w:rPr>
                <w:rFonts w:eastAsia="Times New Roman"/>
              </w:rPr>
              <w:t>171 (42.2)</w:t>
            </w:r>
          </w:p>
        </w:tc>
        <w:tc>
          <w:tcPr>
            <w:tcW w:w="1575" w:type="dxa"/>
            <w:vAlign w:val="center"/>
            <w:hideMark/>
          </w:tcPr>
          <w:p w14:paraId="2290110E" w14:textId="77777777" w:rsidR="00A82A47" w:rsidRPr="00A82A47" w:rsidRDefault="00A82A47" w:rsidP="00A82A47">
            <w:pPr>
              <w:rPr>
                <w:rFonts w:eastAsia="Times New Roman"/>
              </w:rPr>
            </w:pPr>
            <w:r w:rsidRPr="00A82A47">
              <w:rPr>
                <w:rFonts w:eastAsia="Times New Roman"/>
              </w:rPr>
              <w:t>234 (57.8)</w:t>
            </w:r>
          </w:p>
        </w:tc>
      </w:tr>
      <w:tr w:rsidR="00A82A47" w:rsidRPr="00A82A47" w14:paraId="6141A1F0" w14:textId="77777777" w:rsidTr="0075339A">
        <w:trPr>
          <w:tblCellSpacing w:w="15" w:type="dxa"/>
          <w:jc w:val="center"/>
        </w:trPr>
        <w:tc>
          <w:tcPr>
            <w:tcW w:w="3825" w:type="dxa"/>
            <w:vAlign w:val="center"/>
            <w:hideMark/>
          </w:tcPr>
          <w:p w14:paraId="54EA1324" w14:textId="77777777" w:rsidR="00A82A47" w:rsidRPr="00A82A47" w:rsidRDefault="00A82A47" w:rsidP="00A82A47">
            <w:pPr>
              <w:rPr>
                <w:rFonts w:eastAsia="Times New Roman"/>
              </w:rPr>
            </w:pPr>
            <w:r w:rsidRPr="00A82A47">
              <w:rPr>
                <w:rFonts w:eastAsia="Times New Roman"/>
              </w:rPr>
              <w:t>Shortness of breath</w:t>
            </w:r>
          </w:p>
        </w:tc>
        <w:tc>
          <w:tcPr>
            <w:tcW w:w="3840" w:type="dxa"/>
            <w:vAlign w:val="center"/>
            <w:hideMark/>
          </w:tcPr>
          <w:p w14:paraId="32ED41AE" w14:textId="77777777" w:rsidR="00A82A47" w:rsidRPr="00A82A47" w:rsidRDefault="00A82A47" w:rsidP="00A82A47">
            <w:pPr>
              <w:rPr>
                <w:rFonts w:eastAsia="Times New Roman"/>
              </w:rPr>
            </w:pPr>
            <w:r w:rsidRPr="00A82A47">
              <w:rPr>
                <w:rFonts w:eastAsia="Times New Roman"/>
              </w:rPr>
              <w:t>149 (36.8)</w:t>
            </w:r>
          </w:p>
        </w:tc>
        <w:tc>
          <w:tcPr>
            <w:tcW w:w="1575" w:type="dxa"/>
            <w:vAlign w:val="center"/>
            <w:hideMark/>
          </w:tcPr>
          <w:p w14:paraId="52FD7A17" w14:textId="77777777" w:rsidR="00A82A47" w:rsidRPr="00A82A47" w:rsidRDefault="00A82A47" w:rsidP="00A82A47">
            <w:pPr>
              <w:rPr>
                <w:rFonts w:eastAsia="Times New Roman"/>
              </w:rPr>
            </w:pPr>
            <w:r w:rsidRPr="00A82A47">
              <w:rPr>
                <w:rFonts w:eastAsia="Times New Roman"/>
              </w:rPr>
              <w:t>256 (63.2)</w:t>
            </w:r>
          </w:p>
        </w:tc>
      </w:tr>
      <w:tr w:rsidR="00A82A47" w:rsidRPr="00A82A47" w14:paraId="4836A3F8" w14:textId="77777777" w:rsidTr="0075339A">
        <w:trPr>
          <w:tblCellSpacing w:w="15" w:type="dxa"/>
          <w:jc w:val="center"/>
        </w:trPr>
        <w:tc>
          <w:tcPr>
            <w:tcW w:w="3825" w:type="dxa"/>
            <w:vAlign w:val="center"/>
            <w:hideMark/>
          </w:tcPr>
          <w:p w14:paraId="2DEE6F5F" w14:textId="77777777" w:rsidR="00A82A47" w:rsidRPr="00A82A47" w:rsidRDefault="00A82A47" w:rsidP="00A82A47">
            <w:pPr>
              <w:rPr>
                <w:rFonts w:eastAsia="Times New Roman"/>
              </w:rPr>
            </w:pPr>
            <w:r w:rsidRPr="00A82A47">
              <w:rPr>
                <w:rFonts w:eastAsia="Times New Roman"/>
              </w:rPr>
              <w:t>Chest tightness</w:t>
            </w:r>
          </w:p>
        </w:tc>
        <w:tc>
          <w:tcPr>
            <w:tcW w:w="3840" w:type="dxa"/>
            <w:vAlign w:val="center"/>
            <w:hideMark/>
          </w:tcPr>
          <w:p w14:paraId="2F335AAB" w14:textId="77777777" w:rsidR="00A82A47" w:rsidRPr="00A82A47" w:rsidRDefault="00A82A47" w:rsidP="00A82A47">
            <w:pPr>
              <w:rPr>
                <w:rFonts w:eastAsia="Times New Roman"/>
              </w:rPr>
            </w:pPr>
            <w:r w:rsidRPr="00A82A47">
              <w:rPr>
                <w:rFonts w:eastAsia="Times New Roman"/>
              </w:rPr>
              <w:t>122 (30.1)</w:t>
            </w:r>
          </w:p>
        </w:tc>
        <w:tc>
          <w:tcPr>
            <w:tcW w:w="1575" w:type="dxa"/>
            <w:vAlign w:val="center"/>
            <w:hideMark/>
          </w:tcPr>
          <w:p w14:paraId="602A0CB7" w14:textId="77777777" w:rsidR="00A82A47" w:rsidRPr="00A82A47" w:rsidRDefault="00A82A47" w:rsidP="00A82A47">
            <w:pPr>
              <w:rPr>
                <w:rFonts w:eastAsia="Times New Roman"/>
              </w:rPr>
            </w:pPr>
            <w:r w:rsidRPr="00A82A47">
              <w:rPr>
                <w:rFonts w:eastAsia="Times New Roman"/>
              </w:rPr>
              <w:t>283 (69.9)</w:t>
            </w:r>
          </w:p>
        </w:tc>
      </w:tr>
      <w:tr w:rsidR="00A82A47" w:rsidRPr="00A82A47" w14:paraId="455333A2" w14:textId="77777777" w:rsidTr="0075339A">
        <w:trPr>
          <w:tblCellSpacing w:w="15" w:type="dxa"/>
          <w:jc w:val="center"/>
        </w:trPr>
        <w:tc>
          <w:tcPr>
            <w:tcW w:w="3825" w:type="dxa"/>
            <w:vAlign w:val="center"/>
            <w:hideMark/>
          </w:tcPr>
          <w:p w14:paraId="733D329D" w14:textId="77777777" w:rsidR="00A82A47" w:rsidRPr="00A82A47" w:rsidRDefault="00A82A47" w:rsidP="00A82A47">
            <w:pPr>
              <w:rPr>
                <w:rFonts w:eastAsia="Times New Roman"/>
              </w:rPr>
            </w:pPr>
            <w:r w:rsidRPr="00A82A47">
              <w:rPr>
                <w:rFonts w:eastAsia="Times New Roman"/>
              </w:rPr>
              <w:t>Eye irritation</w:t>
            </w:r>
          </w:p>
        </w:tc>
        <w:tc>
          <w:tcPr>
            <w:tcW w:w="3840" w:type="dxa"/>
            <w:vAlign w:val="center"/>
            <w:hideMark/>
          </w:tcPr>
          <w:p w14:paraId="0DCBA2DB" w14:textId="77777777" w:rsidR="00A82A47" w:rsidRPr="00A82A47" w:rsidRDefault="00A82A47" w:rsidP="00A82A47">
            <w:pPr>
              <w:rPr>
                <w:rFonts w:eastAsia="Times New Roman"/>
              </w:rPr>
            </w:pPr>
            <w:r w:rsidRPr="00A82A47">
              <w:rPr>
                <w:rFonts w:eastAsia="Times New Roman"/>
              </w:rPr>
              <w:t>269 (66.4)</w:t>
            </w:r>
          </w:p>
        </w:tc>
        <w:tc>
          <w:tcPr>
            <w:tcW w:w="1575" w:type="dxa"/>
            <w:vAlign w:val="center"/>
            <w:hideMark/>
          </w:tcPr>
          <w:p w14:paraId="58335BBD" w14:textId="77777777" w:rsidR="00A82A47" w:rsidRPr="00A82A47" w:rsidRDefault="00A82A47" w:rsidP="00A82A47">
            <w:pPr>
              <w:rPr>
                <w:rFonts w:eastAsia="Times New Roman"/>
              </w:rPr>
            </w:pPr>
            <w:r w:rsidRPr="00A82A47">
              <w:rPr>
                <w:rFonts w:eastAsia="Times New Roman"/>
              </w:rPr>
              <w:t>136 (33.6)</w:t>
            </w:r>
          </w:p>
        </w:tc>
      </w:tr>
      <w:tr w:rsidR="00A82A47" w:rsidRPr="00A82A47" w14:paraId="2E400C74" w14:textId="77777777" w:rsidTr="0075339A">
        <w:trPr>
          <w:tblCellSpacing w:w="15" w:type="dxa"/>
          <w:jc w:val="center"/>
        </w:trPr>
        <w:tc>
          <w:tcPr>
            <w:tcW w:w="3825" w:type="dxa"/>
            <w:tcBorders>
              <w:bottom w:val="single" w:sz="4" w:space="0" w:color="auto"/>
            </w:tcBorders>
            <w:vAlign w:val="center"/>
            <w:hideMark/>
          </w:tcPr>
          <w:p w14:paraId="23F09CC1" w14:textId="77777777" w:rsidR="00A82A47" w:rsidRPr="00A82A47" w:rsidRDefault="00A82A47" w:rsidP="00A82A47">
            <w:pPr>
              <w:rPr>
                <w:rFonts w:eastAsia="Times New Roman"/>
              </w:rPr>
            </w:pPr>
            <w:r w:rsidRPr="00A82A47">
              <w:rPr>
                <w:rFonts w:eastAsia="Times New Roman"/>
              </w:rPr>
              <w:t>Headache during cooking</w:t>
            </w:r>
          </w:p>
        </w:tc>
        <w:tc>
          <w:tcPr>
            <w:tcW w:w="3840" w:type="dxa"/>
            <w:tcBorders>
              <w:bottom w:val="single" w:sz="4" w:space="0" w:color="auto"/>
            </w:tcBorders>
            <w:vAlign w:val="center"/>
            <w:hideMark/>
          </w:tcPr>
          <w:p w14:paraId="60BA55DA" w14:textId="77777777" w:rsidR="00A82A47" w:rsidRPr="00A82A47" w:rsidRDefault="00A82A47" w:rsidP="00A82A47">
            <w:pPr>
              <w:rPr>
                <w:rFonts w:eastAsia="Times New Roman"/>
              </w:rPr>
            </w:pPr>
            <w:r w:rsidRPr="00A82A47">
              <w:rPr>
                <w:rFonts w:eastAsia="Times New Roman"/>
              </w:rPr>
              <w:t>245 (60.5)</w:t>
            </w:r>
          </w:p>
        </w:tc>
        <w:tc>
          <w:tcPr>
            <w:tcW w:w="1575" w:type="dxa"/>
            <w:tcBorders>
              <w:bottom w:val="single" w:sz="4" w:space="0" w:color="auto"/>
            </w:tcBorders>
            <w:vAlign w:val="center"/>
            <w:hideMark/>
          </w:tcPr>
          <w:p w14:paraId="677C7FCF" w14:textId="77777777" w:rsidR="00A82A47" w:rsidRPr="00A82A47" w:rsidRDefault="00A82A47" w:rsidP="00A82A47">
            <w:pPr>
              <w:rPr>
                <w:rFonts w:eastAsia="Times New Roman"/>
              </w:rPr>
            </w:pPr>
            <w:r w:rsidRPr="00A82A47">
              <w:rPr>
                <w:rFonts w:eastAsia="Times New Roman"/>
              </w:rPr>
              <w:t>160 (39.5)</w:t>
            </w:r>
          </w:p>
        </w:tc>
      </w:tr>
    </w:tbl>
    <w:p w14:paraId="587D6147" w14:textId="77777777" w:rsidR="001A407D" w:rsidRDefault="001A407D" w:rsidP="00A82A47">
      <w:pPr>
        <w:outlineLvl w:val="0"/>
        <w:rPr>
          <w:rFonts w:eastAsia="Times New Roman"/>
          <w:i/>
          <w:iCs/>
          <w:kern w:val="36"/>
        </w:rPr>
      </w:pPr>
    </w:p>
    <w:p w14:paraId="5D3AD910" w14:textId="77777777" w:rsidR="0075339A" w:rsidRDefault="0075339A" w:rsidP="00A82A47">
      <w:pPr>
        <w:outlineLvl w:val="0"/>
        <w:rPr>
          <w:rFonts w:eastAsia="Times New Roman"/>
          <w:i/>
          <w:iCs/>
          <w:kern w:val="36"/>
        </w:rPr>
      </w:pPr>
    </w:p>
    <w:p w14:paraId="3F33DF2F" w14:textId="77777777" w:rsidR="0075339A" w:rsidRDefault="0075339A" w:rsidP="00A82A47">
      <w:pPr>
        <w:outlineLvl w:val="0"/>
        <w:rPr>
          <w:rFonts w:eastAsia="Times New Roman"/>
          <w:i/>
          <w:iCs/>
          <w:kern w:val="36"/>
        </w:rPr>
      </w:pPr>
    </w:p>
    <w:p w14:paraId="33A43667" w14:textId="77777777" w:rsidR="0075339A" w:rsidRDefault="0075339A" w:rsidP="00A82A47">
      <w:pPr>
        <w:outlineLvl w:val="0"/>
        <w:rPr>
          <w:rFonts w:eastAsia="Times New Roman"/>
          <w:i/>
          <w:iCs/>
          <w:kern w:val="36"/>
        </w:rPr>
      </w:pPr>
    </w:p>
    <w:p w14:paraId="6A2A9953" w14:textId="4405F567" w:rsidR="00A82A47" w:rsidRPr="001A407D" w:rsidRDefault="00A82A47" w:rsidP="00A82A47">
      <w:pPr>
        <w:outlineLvl w:val="0"/>
        <w:rPr>
          <w:rFonts w:eastAsia="Times New Roman"/>
          <w:i/>
          <w:iCs/>
          <w:kern w:val="36"/>
        </w:rPr>
      </w:pPr>
      <w:r w:rsidRPr="001A407D">
        <w:rPr>
          <w:rFonts w:eastAsia="Times New Roman"/>
          <w:i/>
          <w:iCs/>
          <w:kern w:val="36"/>
        </w:rPr>
        <w:lastRenderedPageBreak/>
        <w:t>Cross-tabulation</w:t>
      </w:r>
    </w:p>
    <w:p w14:paraId="7F490786" w14:textId="5DD01667" w:rsidR="00A82A47" w:rsidRPr="00A82A47" w:rsidRDefault="00A82A47" w:rsidP="001A407D">
      <w:pPr>
        <w:jc w:val="center"/>
        <w:outlineLvl w:val="1"/>
        <w:rPr>
          <w:rFonts w:eastAsia="Times New Roman"/>
        </w:rPr>
      </w:pPr>
      <w:r w:rsidRPr="00A82A47">
        <w:rPr>
          <w:rFonts w:eastAsia="Times New Roman"/>
        </w:rPr>
        <w:t>Table 11</w:t>
      </w:r>
      <w:r w:rsidR="001A407D">
        <w:rPr>
          <w:rFonts w:eastAsia="Times New Roman"/>
          <w:lang w:val="en-US"/>
        </w:rPr>
        <w:t>.</w:t>
      </w:r>
      <w:r w:rsidRPr="00A82A47">
        <w:rPr>
          <w:rFonts w:eastAsia="Times New Roman"/>
        </w:rPr>
        <w:t xml:space="preserve">  Cooking Fuel versus Persistent Cough</w:t>
      </w:r>
    </w:p>
    <w:tbl>
      <w:tblPr>
        <w:tblW w:w="9270" w:type="dxa"/>
        <w:jc w:val="center"/>
        <w:tblCellSpacing w:w="15" w:type="dxa"/>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2408"/>
        <w:gridCol w:w="2833"/>
        <w:gridCol w:w="2677"/>
        <w:gridCol w:w="1352"/>
      </w:tblGrid>
      <w:tr w:rsidR="00A82A47" w:rsidRPr="00A82A47" w14:paraId="49A6628E" w14:textId="77777777" w:rsidTr="0075339A">
        <w:trPr>
          <w:tblHeader/>
          <w:tblCellSpacing w:w="15" w:type="dxa"/>
          <w:jc w:val="center"/>
        </w:trPr>
        <w:tc>
          <w:tcPr>
            <w:tcW w:w="2363" w:type="dxa"/>
            <w:tcBorders>
              <w:top w:val="single" w:sz="4" w:space="0" w:color="auto"/>
              <w:bottom w:val="single" w:sz="4" w:space="0" w:color="auto"/>
            </w:tcBorders>
            <w:vAlign w:val="center"/>
            <w:hideMark/>
          </w:tcPr>
          <w:p w14:paraId="2FB2A1FB" w14:textId="77777777" w:rsidR="00A82A47" w:rsidRPr="00A82A47" w:rsidRDefault="00A82A47" w:rsidP="0075339A">
            <w:pPr>
              <w:jc w:val="both"/>
              <w:rPr>
                <w:rFonts w:eastAsia="Times New Roman"/>
              </w:rPr>
            </w:pPr>
            <w:r w:rsidRPr="00A82A47">
              <w:rPr>
                <w:rFonts w:eastAsia="Times New Roman"/>
              </w:rPr>
              <w:t>Cooking Fuel</w:t>
            </w:r>
          </w:p>
        </w:tc>
        <w:tc>
          <w:tcPr>
            <w:tcW w:w="2803" w:type="dxa"/>
            <w:tcBorders>
              <w:top w:val="single" w:sz="4" w:space="0" w:color="auto"/>
              <w:bottom w:val="single" w:sz="4" w:space="0" w:color="auto"/>
            </w:tcBorders>
            <w:vAlign w:val="center"/>
            <w:hideMark/>
          </w:tcPr>
          <w:p w14:paraId="72FCEF39" w14:textId="77777777" w:rsidR="00A82A47" w:rsidRPr="00A82A47" w:rsidRDefault="00A82A47" w:rsidP="0075339A">
            <w:pPr>
              <w:jc w:val="both"/>
              <w:rPr>
                <w:rFonts w:eastAsia="Times New Roman"/>
              </w:rPr>
            </w:pPr>
            <w:r w:rsidRPr="00A82A47">
              <w:rPr>
                <w:rFonts w:eastAsia="Times New Roman"/>
              </w:rPr>
              <w:t>Persistent Cough Yes</w:t>
            </w:r>
          </w:p>
        </w:tc>
        <w:tc>
          <w:tcPr>
            <w:tcW w:w="2647" w:type="dxa"/>
            <w:tcBorders>
              <w:top w:val="single" w:sz="4" w:space="0" w:color="auto"/>
              <w:bottom w:val="single" w:sz="4" w:space="0" w:color="auto"/>
            </w:tcBorders>
            <w:vAlign w:val="center"/>
            <w:hideMark/>
          </w:tcPr>
          <w:p w14:paraId="6C726420" w14:textId="77777777" w:rsidR="00A82A47" w:rsidRPr="00A82A47" w:rsidRDefault="00A82A47" w:rsidP="0075339A">
            <w:pPr>
              <w:jc w:val="both"/>
              <w:rPr>
                <w:rFonts w:eastAsia="Times New Roman"/>
              </w:rPr>
            </w:pPr>
            <w:r w:rsidRPr="00A82A47">
              <w:rPr>
                <w:rFonts w:eastAsia="Times New Roman"/>
              </w:rPr>
              <w:t>Persistent Cough No</w:t>
            </w:r>
          </w:p>
        </w:tc>
        <w:tc>
          <w:tcPr>
            <w:tcW w:w="1307" w:type="dxa"/>
            <w:tcBorders>
              <w:top w:val="single" w:sz="4" w:space="0" w:color="auto"/>
              <w:bottom w:val="single" w:sz="4" w:space="0" w:color="auto"/>
            </w:tcBorders>
            <w:vAlign w:val="center"/>
            <w:hideMark/>
          </w:tcPr>
          <w:p w14:paraId="7B781ABB" w14:textId="77777777" w:rsidR="00A82A47" w:rsidRPr="00A82A47" w:rsidRDefault="00A82A47" w:rsidP="0075339A">
            <w:pPr>
              <w:jc w:val="both"/>
              <w:rPr>
                <w:rFonts w:eastAsia="Times New Roman"/>
              </w:rPr>
            </w:pPr>
            <w:r w:rsidRPr="00A82A47">
              <w:rPr>
                <w:rFonts w:eastAsia="Times New Roman"/>
              </w:rPr>
              <w:t>Total</w:t>
            </w:r>
          </w:p>
        </w:tc>
      </w:tr>
      <w:tr w:rsidR="00A82A47" w:rsidRPr="00A82A47" w14:paraId="6B1273B8" w14:textId="77777777" w:rsidTr="0075339A">
        <w:trPr>
          <w:tblCellSpacing w:w="15" w:type="dxa"/>
          <w:jc w:val="center"/>
        </w:trPr>
        <w:tc>
          <w:tcPr>
            <w:tcW w:w="2363" w:type="dxa"/>
            <w:vAlign w:val="center"/>
            <w:hideMark/>
          </w:tcPr>
          <w:p w14:paraId="0F1FCDB6" w14:textId="77777777" w:rsidR="00A82A47" w:rsidRPr="00A82A47" w:rsidRDefault="00A82A47" w:rsidP="0075339A">
            <w:pPr>
              <w:rPr>
                <w:rFonts w:eastAsia="Times New Roman"/>
              </w:rPr>
            </w:pPr>
            <w:r w:rsidRPr="00A82A47">
              <w:rPr>
                <w:rFonts w:eastAsia="Times New Roman"/>
              </w:rPr>
              <w:t>Firewood</w:t>
            </w:r>
          </w:p>
        </w:tc>
        <w:tc>
          <w:tcPr>
            <w:tcW w:w="2803" w:type="dxa"/>
            <w:vAlign w:val="center"/>
            <w:hideMark/>
          </w:tcPr>
          <w:p w14:paraId="522376B7" w14:textId="77777777" w:rsidR="00A82A47" w:rsidRPr="00A82A47" w:rsidRDefault="00A82A47" w:rsidP="0075339A">
            <w:pPr>
              <w:rPr>
                <w:rFonts w:eastAsia="Times New Roman"/>
              </w:rPr>
            </w:pPr>
            <w:r w:rsidRPr="00A82A47">
              <w:rPr>
                <w:rFonts w:eastAsia="Times New Roman"/>
              </w:rPr>
              <w:t>196</w:t>
            </w:r>
          </w:p>
        </w:tc>
        <w:tc>
          <w:tcPr>
            <w:tcW w:w="2647" w:type="dxa"/>
            <w:vAlign w:val="center"/>
            <w:hideMark/>
          </w:tcPr>
          <w:p w14:paraId="358E1BC7" w14:textId="77777777" w:rsidR="00A82A47" w:rsidRPr="00A82A47" w:rsidRDefault="00A82A47" w:rsidP="0075339A">
            <w:pPr>
              <w:rPr>
                <w:rFonts w:eastAsia="Times New Roman"/>
              </w:rPr>
            </w:pPr>
            <w:r w:rsidRPr="00A82A47">
              <w:rPr>
                <w:rFonts w:eastAsia="Times New Roman"/>
              </w:rPr>
              <w:t>98</w:t>
            </w:r>
          </w:p>
        </w:tc>
        <w:tc>
          <w:tcPr>
            <w:tcW w:w="1307" w:type="dxa"/>
            <w:vAlign w:val="center"/>
            <w:hideMark/>
          </w:tcPr>
          <w:p w14:paraId="27CC7E35" w14:textId="77777777" w:rsidR="00A82A47" w:rsidRPr="00A82A47" w:rsidRDefault="00A82A47" w:rsidP="0075339A">
            <w:pPr>
              <w:rPr>
                <w:rFonts w:eastAsia="Times New Roman"/>
              </w:rPr>
            </w:pPr>
            <w:r w:rsidRPr="00A82A47">
              <w:rPr>
                <w:rFonts w:eastAsia="Times New Roman"/>
              </w:rPr>
              <w:t>294</w:t>
            </w:r>
          </w:p>
        </w:tc>
      </w:tr>
      <w:tr w:rsidR="00A82A47" w:rsidRPr="00A82A47" w14:paraId="0071D50D" w14:textId="77777777" w:rsidTr="0075339A">
        <w:trPr>
          <w:tblCellSpacing w:w="15" w:type="dxa"/>
          <w:jc w:val="center"/>
        </w:trPr>
        <w:tc>
          <w:tcPr>
            <w:tcW w:w="2363" w:type="dxa"/>
            <w:vAlign w:val="center"/>
            <w:hideMark/>
          </w:tcPr>
          <w:p w14:paraId="3DEE4A16" w14:textId="77777777" w:rsidR="00A82A47" w:rsidRPr="00A82A47" w:rsidRDefault="00A82A47" w:rsidP="0075339A">
            <w:pPr>
              <w:rPr>
                <w:rFonts w:eastAsia="Times New Roman"/>
              </w:rPr>
            </w:pPr>
            <w:r w:rsidRPr="00A82A47">
              <w:rPr>
                <w:rFonts w:eastAsia="Times New Roman"/>
              </w:rPr>
              <w:t>Charcoal</w:t>
            </w:r>
          </w:p>
        </w:tc>
        <w:tc>
          <w:tcPr>
            <w:tcW w:w="2803" w:type="dxa"/>
            <w:vAlign w:val="center"/>
            <w:hideMark/>
          </w:tcPr>
          <w:p w14:paraId="799D0BB9" w14:textId="77777777" w:rsidR="00A82A47" w:rsidRPr="00A82A47" w:rsidRDefault="00A82A47" w:rsidP="0075339A">
            <w:pPr>
              <w:rPr>
                <w:rFonts w:eastAsia="Times New Roman"/>
              </w:rPr>
            </w:pPr>
            <w:r w:rsidRPr="00A82A47">
              <w:rPr>
                <w:rFonts w:eastAsia="Times New Roman"/>
              </w:rPr>
              <w:t>21</w:t>
            </w:r>
          </w:p>
        </w:tc>
        <w:tc>
          <w:tcPr>
            <w:tcW w:w="2647" w:type="dxa"/>
            <w:vAlign w:val="center"/>
            <w:hideMark/>
          </w:tcPr>
          <w:p w14:paraId="18D7C154" w14:textId="77777777" w:rsidR="00A82A47" w:rsidRPr="00A82A47" w:rsidRDefault="00A82A47" w:rsidP="0075339A">
            <w:pPr>
              <w:rPr>
                <w:rFonts w:eastAsia="Times New Roman"/>
              </w:rPr>
            </w:pPr>
            <w:r w:rsidRPr="00A82A47">
              <w:rPr>
                <w:rFonts w:eastAsia="Times New Roman"/>
              </w:rPr>
              <w:t>33</w:t>
            </w:r>
          </w:p>
        </w:tc>
        <w:tc>
          <w:tcPr>
            <w:tcW w:w="1307" w:type="dxa"/>
            <w:vAlign w:val="center"/>
            <w:hideMark/>
          </w:tcPr>
          <w:p w14:paraId="28207694" w14:textId="77777777" w:rsidR="00A82A47" w:rsidRPr="00A82A47" w:rsidRDefault="00A82A47" w:rsidP="0075339A">
            <w:pPr>
              <w:rPr>
                <w:rFonts w:eastAsia="Times New Roman"/>
              </w:rPr>
            </w:pPr>
            <w:r w:rsidRPr="00A82A47">
              <w:rPr>
                <w:rFonts w:eastAsia="Times New Roman"/>
              </w:rPr>
              <w:t>54</w:t>
            </w:r>
          </w:p>
        </w:tc>
      </w:tr>
      <w:tr w:rsidR="00A82A47" w:rsidRPr="00A82A47" w14:paraId="74B7857A" w14:textId="77777777" w:rsidTr="0075339A">
        <w:trPr>
          <w:tblCellSpacing w:w="15" w:type="dxa"/>
          <w:jc w:val="center"/>
        </w:trPr>
        <w:tc>
          <w:tcPr>
            <w:tcW w:w="2363" w:type="dxa"/>
            <w:vAlign w:val="center"/>
            <w:hideMark/>
          </w:tcPr>
          <w:p w14:paraId="2A06F990" w14:textId="77777777" w:rsidR="00A82A47" w:rsidRPr="00A82A47" w:rsidRDefault="00A82A47" w:rsidP="0075339A">
            <w:pPr>
              <w:rPr>
                <w:rFonts w:eastAsia="Times New Roman"/>
              </w:rPr>
            </w:pPr>
            <w:r w:rsidRPr="00A82A47">
              <w:rPr>
                <w:rFonts w:eastAsia="Times New Roman"/>
              </w:rPr>
              <w:t>Kerosene</w:t>
            </w:r>
          </w:p>
        </w:tc>
        <w:tc>
          <w:tcPr>
            <w:tcW w:w="2803" w:type="dxa"/>
            <w:vAlign w:val="center"/>
            <w:hideMark/>
          </w:tcPr>
          <w:p w14:paraId="68A0D8BC" w14:textId="77777777" w:rsidR="00A82A47" w:rsidRPr="00A82A47" w:rsidRDefault="00A82A47" w:rsidP="0075339A">
            <w:pPr>
              <w:rPr>
                <w:rFonts w:eastAsia="Times New Roman"/>
              </w:rPr>
            </w:pPr>
            <w:r w:rsidRPr="00A82A47">
              <w:rPr>
                <w:rFonts w:eastAsia="Times New Roman"/>
              </w:rPr>
              <w:t>7</w:t>
            </w:r>
          </w:p>
        </w:tc>
        <w:tc>
          <w:tcPr>
            <w:tcW w:w="2647" w:type="dxa"/>
            <w:vAlign w:val="center"/>
            <w:hideMark/>
          </w:tcPr>
          <w:p w14:paraId="7DA79E50" w14:textId="77777777" w:rsidR="00A82A47" w:rsidRPr="00A82A47" w:rsidRDefault="00A82A47" w:rsidP="0075339A">
            <w:pPr>
              <w:rPr>
                <w:rFonts w:eastAsia="Times New Roman"/>
              </w:rPr>
            </w:pPr>
            <w:r w:rsidRPr="00A82A47">
              <w:rPr>
                <w:rFonts w:eastAsia="Times New Roman"/>
              </w:rPr>
              <w:t>19</w:t>
            </w:r>
          </w:p>
        </w:tc>
        <w:tc>
          <w:tcPr>
            <w:tcW w:w="1307" w:type="dxa"/>
            <w:vAlign w:val="center"/>
            <w:hideMark/>
          </w:tcPr>
          <w:p w14:paraId="22716EE1" w14:textId="77777777" w:rsidR="00A82A47" w:rsidRPr="00A82A47" w:rsidRDefault="00A82A47" w:rsidP="0075339A">
            <w:pPr>
              <w:rPr>
                <w:rFonts w:eastAsia="Times New Roman"/>
              </w:rPr>
            </w:pPr>
            <w:r w:rsidRPr="00A82A47">
              <w:rPr>
                <w:rFonts w:eastAsia="Times New Roman"/>
              </w:rPr>
              <w:t>26</w:t>
            </w:r>
          </w:p>
        </w:tc>
      </w:tr>
      <w:tr w:rsidR="00A82A47" w:rsidRPr="00A82A47" w14:paraId="08DC37CA" w14:textId="77777777" w:rsidTr="0075339A">
        <w:trPr>
          <w:tblCellSpacing w:w="15" w:type="dxa"/>
          <w:jc w:val="center"/>
        </w:trPr>
        <w:tc>
          <w:tcPr>
            <w:tcW w:w="2363" w:type="dxa"/>
            <w:vAlign w:val="center"/>
            <w:hideMark/>
          </w:tcPr>
          <w:p w14:paraId="3F888E0F" w14:textId="77777777" w:rsidR="00A82A47" w:rsidRPr="00A82A47" w:rsidRDefault="00A82A47" w:rsidP="0075339A">
            <w:pPr>
              <w:rPr>
                <w:rFonts w:eastAsia="Times New Roman"/>
              </w:rPr>
            </w:pPr>
            <w:r w:rsidRPr="00A82A47">
              <w:rPr>
                <w:rFonts w:eastAsia="Times New Roman"/>
              </w:rPr>
              <w:t>LPG</w:t>
            </w:r>
          </w:p>
        </w:tc>
        <w:tc>
          <w:tcPr>
            <w:tcW w:w="2803" w:type="dxa"/>
            <w:vAlign w:val="center"/>
            <w:hideMark/>
          </w:tcPr>
          <w:p w14:paraId="74BEAF49" w14:textId="77777777" w:rsidR="00A82A47" w:rsidRPr="00A82A47" w:rsidRDefault="00A82A47" w:rsidP="0075339A">
            <w:pPr>
              <w:rPr>
                <w:rFonts w:eastAsia="Times New Roman"/>
              </w:rPr>
            </w:pPr>
            <w:r w:rsidRPr="00A82A47">
              <w:rPr>
                <w:rFonts w:eastAsia="Times New Roman"/>
              </w:rPr>
              <w:t>3</w:t>
            </w:r>
          </w:p>
        </w:tc>
        <w:tc>
          <w:tcPr>
            <w:tcW w:w="2647" w:type="dxa"/>
            <w:vAlign w:val="center"/>
            <w:hideMark/>
          </w:tcPr>
          <w:p w14:paraId="52577B8E" w14:textId="77777777" w:rsidR="00A82A47" w:rsidRPr="00A82A47" w:rsidRDefault="00A82A47" w:rsidP="0075339A">
            <w:pPr>
              <w:rPr>
                <w:rFonts w:eastAsia="Times New Roman"/>
              </w:rPr>
            </w:pPr>
            <w:r w:rsidRPr="00A82A47">
              <w:rPr>
                <w:rFonts w:eastAsia="Times New Roman"/>
              </w:rPr>
              <w:t>18</w:t>
            </w:r>
          </w:p>
        </w:tc>
        <w:tc>
          <w:tcPr>
            <w:tcW w:w="1307" w:type="dxa"/>
            <w:vAlign w:val="center"/>
            <w:hideMark/>
          </w:tcPr>
          <w:p w14:paraId="012BD021" w14:textId="77777777" w:rsidR="00A82A47" w:rsidRPr="00A82A47" w:rsidRDefault="00A82A47" w:rsidP="0075339A">
            <w:pPr>
              <w:rPr>
                <w:rFonts w:eastAsia="Times New Roman"/>
              </w:rPr>
            </w:pPr>
            <w:r w:rsidRPr="00A82A47">
              <w:rPr>
                <w:rFonts w:eastAsia="Times New Roman"/>
              </w:rPr>
              <w:t>21</w:t>
            </w:r>
          </w:p>
        </w:tc>
      </w:tr>
      <w:tr w:rsidR="00A82A47" w:rsidRPr="00A82A47" w14:paraId="5876F1A1" w14:textId="77777777" w:rsidTr="0075339A">
        <w:trPr>
          <w:tblCellSpacing w:w="15" w:type="dxa"/>
          <w:jc w:val="center"/>
        </w:trPr>
        <w:tc>
          <w:tcPr>
            <w:tcW w:w="2363" w:type="dxa"/>
            <w:vAlign w:val="center"/>
            <w:hideMark/>
          </w:tcPr>
          <w:p w14:paraId="035503E6" w14:textId="77777777" w:rsidR="00A82A47" w:rsidRPr="00A82A47" w:rsidRDefault="00A82A47" w:rsidP="0075339A">
            <w:pPr>
              <w:rPr>
                <w:rFonts w:eastAsia="Times New Roman"/>
              </w:rPr>
            </w:pPr>
            <w:r w:rsidRPr="00A82A47">
              <w:rPr>
                <w:rFonts w:eastAsia="Times New Roman"/>
              </w:rPr>
              <w:t>Electricity</w:t>
            </w:r>
          </w:p>
        </w:tc>
        <w:tc>
          <w:tcPr>
            <w:tcW w:w="2803" w:type="dxa"/>
            <w:vAlign w:val="center"/>
            <w:hideMark/>
          </w:tcPr>
          <w:p w14:paraId="6F83406B" w14:textId="77777777" w:rsidR="00A82A47" w:rsidRPr="00A82A47" w:rsidRDefault="00A82A47" w:rsidP="0075339A">
            <w:pPr>
              <w:rPr>
                <w:rFonts w:eastAsia="Times New Roman"/>
              </w:rPr>
            </w:pPr>
            <w:r w:rsidRPr="00A82A47">
              <w:rPr>
                <w:rFonts w:eastAsia="Times New Roman"/>
              </w:rPr>
              <w:t>1</w:t>
            </w:r>
          </w:p>
        </w:tc>
        <w:tc>
          <w:tcPr>
            <w:tcW w:w="2647" w:type="dxa"/>
            <w:vAlign w:val="center"/>
            <w:hideMark/>
          </w:tcPr>
          <w:p w14:paraId="194B315D" w14:textId="77777777" w:rsidR="00A82A47" w:rsidRPr="00A82A47" w:rsidRDefault="00A82A47" w:rsidP="0075339A">
            <w:pPr>
              <w:rPr>
                <w:rFonts w:eastAsia="Times New Roman"/>
              </w:rPr>
            </w:pPr>
            <w:r w:rsidRPr="00A82A47">
              <w:rPr>
                <w:rFonts w:eastAsia="Times New Roman"/>
              </w:rPr>
              <w:t>9</w:t>
            </w:r>
          </w:p>
        </w:tc>
        <w:tc>
          <w:tcPr>
            <w:tcW w:w="1307" w:type="dxa"/>
            <w:vAlign w:val="center"/>
            <w:hideMark/>
          </w:tcPr>
          <w:p w14:paraId="74B17F8B" w14:textId="77777777" w:rsidR="00A82A47" w:rsidRPr="00A82A47" w:rsidRDefault="00A82A47" w:rsidP="0075339A">
            <w:pPr>
              <w:rPr>
                <w:rFonts w:eastAsia="Times New Roman"/>
              </w:rPr>
            </w:pPr>
            <w:r w:rsidRPr="00A82A47">
              <w:rPr>
                <w:rFonts w:eastAsia="Times New Roman"/>
              </w:rPr>
              <w:t>10</w:t>
            </w:r>
          </w:p>
        </w:tc>
      </w:tr>
      <w:tr w:rsidR="00A82A47" w:rsidRPr="00A82A47" w14:paraId="14F73D0A" w14:textId="77777777" w:rsidTr="0075339A">
        <w:trPr>
          <w:tblCellSpacing w:w="15" w:type="dxa"/>
          <w:jc w:val="center"/>
        </w:trPr>
        <w:tc>
          <w:tcPr>
            <w:tcW w:w="2363" w:type="dxa"/>
            <w:tcBorders>
              <w:top w:val="single" w:sz="4" w:space="0" w:color="auto"/>
              <w:bottom w:val="single" w:sz="4" w:space="0" w:color="auto"/>
            </w:tcBorders>
            <w:vAlign w:val="center"/>
            <w:hideMark/>
          </w:tcPr>
          <w:p w14:paraId="66208A53" w14:textId="77777777" w:rsidR="00A82A47" w:rsidRPr="00A82A47" w:rsidRDefault="00A82A47" w:rsidP="0075339A">
            <w:pPr>
              <w:rPr>
                <w:rFonts w:eastAsia="Times New Roman"/>
              </w:rPr>
            </w:pPr>
            <w:r w:rsidRPr="00A82A47">
              <w:rPr>
                <w:rFonts w:eastAsia="Times New Roman"/>
              </w:rPr>
              <w:t>Total</w:t>
            </w:r>
          </w:p>
        </w:tc>
        <w:tc>
          <w:tcPr>
            <w:tcW w:w="2803" w:type="dxa"/>
            <w:tcBorders>
              <w:top w:val="single" w:sz="4" w:space="0" w:color="auto"/>
              <w:bottom w:val="single" w:sz="4" w:space="0" w:color="auto"/>
            </w:tcBorders>
            <w:vAlign w:val="center"/>
            <w:hideMark/>
          </w:tcPr>
          <w:p w14:paraId="09676E05" w14:textId="77777777" w:rsidR="00A82A47" w:rsidRPr="00A82A47" w:rsidRDefault="00A82A47" w:rsidP="0075339A">
            <w:pPr>
              <w:rPr>
                <w:rFonts w:eastAsia="Times New Roman"/>
              </w:rPr>
            </w:pPr>
            <w:r w:rsidRPr="00A82A47">
              <w:rPr>
                <w:rFonts w:eastAsia="Times New Roman"/>
              </w:rPr>
              <w:t>228</w:t>
            </w:r>
          </w:p>
        </w:tc>
        <w:tc>
          <w:tcPr>
            <w:tcW w:w="2647" w:type="dxa"/>
            <w:tcBorders>
              <w:top w:val="single" w:sz="4" w:space="0" w:color="auto"/>
              <w:bottom w:val="single" w:sz="4" w:space="0" w:color="auto"/>
            </w:tcBorders>
            <w:vAlign w:val="center"/>
            <w:hideMark/>
          </w:tcPr>
          <w:p w14:paraId="5FF45D74" w14:textId="77777777" w:rsidR="00A82A47" w:rsidRPr="00A82A47" w:rsidRDefault="00A82A47" w:rsidP="0075339A">
            <w:pPr>
              <w:rPr>
                <w:rFonts w:eastAsia="Times New Roman"/>
              </w:rPr>
            </w:pPr>
            <w:r w:rsidRPr="00A82A47">
              <w:rPr>
                <w:rFonts w:eastAsia="Times New Roman"/>
              </w:rPr>
              <w:t>177</w:t>
            </w:r>
          </w:p>
        </w:tc>
        <w:tc>
          <w:tcPr>
            <w:tcW w:w="1307" w:type="dxa"/>
            <w:tcBorders>
              <w:top w:val="single" w:sz="4" w:space="0" w:color="auto"/>
              <w:bottom w:val="single" w:sz="4" w:space="0" w:color="auto"/>
            </w:tcBorders>
            <w:vAlign w:val="center"/>
            <w:hideMark/>
          </w:tcPr>
          <w:p w14:paraId="3CB2085A" w14:textId="77777777" w:rsidR="00A82A47" w:rsidRPr="00A82A47" w:rsidRDefault="00A82A47" w:rsidP="0075339A">
            <w:pPr>
              <w:rPr>
                <w:rFonts w:eastAsia="Times New Roman"/>
              </w:rPr>
            </w:pPr>
            <w:r w:rsidRPr="00A82A47">
              <w:rPr>
                <w:rFonts w:eastAsia="Times New Roman"/>
              </w:rPr>
              <w:t>405</w:t>
            </w:r>
          </w:p>
        </w:tc>
      </w:tr>
    </w:tbl>
    <w:p w14:paraId="5DD4B27A" w14:textId="77777777" w:rsidR="001A407D" w:rsidRDefault="001A407D" w:rsidP="00A82A47">
      <w:pPr>
        <w:jc w:val="both"/>
        <w:rPr>
          <w:rFonts w:eastAsia="Times New Roman"/>
        </w:rPr>
      </w:pPr>
    </w:p>
    <w:p w14:paraId="6BED6207" w14:textId="12F86202" w:rsidR="00A82A47" w:rsidRPr="00A82A47" w:rsidRDefault="00A82A47" w:rsidP="001A407D">
      <w:pPr>
        <w:ind w:firstLine="720"/>
        <w:jc w:val="both"/>
        <w:rPr>
          <w:rFonts w:eastAsia="Times New Roman"/>
        </w:rPr>
      </w:pPr>
      <w:r w:rsidRPr="00A82A47">
        <w:rPr>
          <w:rFonts w:eastAsia="Times New Roman"/>
        </w:rPr>
        <w:t>Persistent cough was most common among households using firewood, with 196 respondents reporting the symptom. Households using LPG and electricity reported substantially fewer cases.</w:t>
      </w:r>
    </w:p>
    <w:p w14:paraId="0CD685A1" w14:textId="39C15F43" w:rsidR="00A82A47" w:rsidRPr="00A82A47" w:rsidRDefault="00A82A47" w:rsidP="001315F0">
      <w:pPr>
        <w:jc w:val="center"/>
        <w:outlineLvl w:val="1"/>
        <w:rPr>
          <w:rFonts w:eastAsia="Times New Roman"/>
        </w:rPr>
      </w:pPr>
      <w:r w:rsidRPr="00A82A47">
        <w:rPr>
          <w:rFonts w:eastAsia="Times New Roman"/>
        </w:rPr>
        <w:t>Table 12</w:t>
      </w:r>
      <w:r w:rsidR="001315F0">
        <w:rPr>
          <w:rFonts w:eastAsia="Times New Roman"/>
          <w:lang w:val="en-US"/>
        </w:rPr>
        <w:t>.</w:t>
      </w:r>
      <w:r w:rsidRPr="00A82A47">
        <w:rPr>
          <w:rFonts w:eastAsia="Times New Roman"/>
        </w:rPr>
        <w:t xml:space="preserve">  Kitchen Ventilation versus Wheezing</w:t>
      </w:r>
    </w:p>
    <w:tbl>
      <w:tblPr>
        <w:tblW w:w="9360" w:type="dxa"/>
        <w:jc w:val="center"/>
        <w:tblCellSpacing w:w="15" w:type="dxa"/>
        <w:tblCellMar>
          <w:top w:w="15" w:type="dxa"/>
          <w:left w:w="15" w:type="dxa"/>
          <w:bottom w:w="15" w:type="dxa"/>
          <w:right w:w="15" w:type="dxa"/>
        </w:tblCellMar>
        <w:tblLook w:val="04A0" w:firstRow="1" w:lastRow="0" w:firstColumn="1" w:lastColumn="0" w:noHBand="0" w:noVBand="1"/>
      </w:tblPr>
      <w:tblGrid>
        <w:gridCol w:w="3780"/>
        <w:gridCol w:w="2340"/>
        <w:gridCol w:w="1710"/>
        <w:gridCol w:w="1530"/>
      </w:tblGrid>
      <w:tr w:rsidR="00A82A47" w:rsidRPr="00A82A47" w14:paraId="3D6BEA8D" w14:textId="77777777" w:rsidTr="0075339A">
        <w:trPr>
          <w:tblHeader/>
          <w:tblCellSpacing w:w="15" w:type="dxa"/>
          <w:jc w:val="center"/>
        </w:trPr>
        <w:tc>
          <w:tcPr>
            <w:tcW w:w="3735" w:type="dxa"/>
            <w:tcBorders>
              <w:top w:val="single" w:sz="4" w:space="0" w:color="auto"/>
            </w:tcBorders>
            <w:vAlign w:val="center"/>
            <w:hideMark/>
          </w:tcPr>
          <w:p w14:paraId="1CD1384C" w14:textId="77777777" w:rsidR="00A82A47" w:rsidRPr="00A82A47" w:rsidRDefault="00A82A47" w:rsidP="0075339A">
            <w:pPr>
              <w:jc w:val="both"/>
              <w:rPr>
                <w:rFonts w:eastAsia="Times New Roman"/>
              </w:rPr>
            </w:pPr>
            <w:r w:rsidRPr="00A82A47">
              <w:rPr>
                <w:rFonts w:eastAsia="Times New Roman"/>
              </w:rPr>
              <w:t>Kitchen Ventilation</w:t>
            </w:r>
          </w:p>
        </w:tc>
        <w:tc>
          <w:tcPr>
            <w:tcW w:w="2310" w:type="dxa"/>
            <w:tcBorders>
              <w:top w:val="single" w:sz="4" w:space="0" w:color="auto"/>
            </w:tcBorders>
            <w:vAlign w:val="center"/>
            <w:hideMark/>
          </w:tcPr>
          <w:p w14:paraId="2169880A" w14:textId="77777777" w:rsidR="00A82A47" w:rsidRPr="00A82A47" w:rsidRDefault="00A82A47" w:rsidP="0075339A">
            <w:pPr>
              <w:jc w:val="both"/>
              <w:rPr>
                <w:rFonts w:eastAsia="Times New Roman"/>
              </w:rPr>
            </w:pPr>
            <w:r w:rsidRPr="00A82A47">
              <w:rPr>
                <w:rFonts w:eastAsia="Times New Roman"/>
              </w:rPr>
              <w:t>Wheezing Yes</w:t>
            </w:r>
          </w:p>
        </w:tc>
        <w:tc>
          <w:tcPr>
            <w:tcW w:w="1680" w:type="dxa"/>
            <w:tcBorders>
              <w:top w:val="single" w:sz="4" w:space="0" w:color="auto"/>
            </w:tcBorders>
            <w:vAlign w:val="center"/>
            <w:hideMark/>
          </w:tcPr>
          <w:p w14:paraId="6894A599" w14:textId="77777777" w:rsidR="00A82A47" w:rsidRPr="00A82A47" w:rsidRDefault="00A82A47" w:rsidP="0075339A">
            <w:pPr>
              <w:jc w:val="both"/>
              <w:rPr>
                <w:rFonts w:eastAsia="Times New Roman"/>
              </w:rPr>
            </w:pPr>
            <w:r w:rsidRPr="00A82A47">
              <w:rPr>
                <w:rFonts w:eastAsia="Times New Roman"/>
              </w:rPr>
              <w:t>Wheezing No</w:t>
            </w:r>
          </w:p>
        </w:tc>
        <w:tc>
          <w:tcPr>
            <w:tcW w:w="1485" w:type="dxa"/>
            <w:tcBorders>
              <w:top w:val="single" w:sz="4" w:space="0" w:color="auto"/>
            </w:tcBorders>
            <w:vAlign w:val="center"/>
            <w:hideMark/>
          </w:tcPr>
          <w:p w14:paraId="29A1C0BD" w14:textId="77777777" w:rsidR="00A82A47" w:rsidRPr="00A82A47" w:rsidRDefault="00A82A47" w:rsidP="0075339A">
            <w:pPr>
              <w:jc w:val="both"/>
              <w:rPr>
                <w:rFonts w:eastAsia="Times New Roman"/>
              </w:rPr>
            </w:pPr>
            <w:r w:rsidRPr="00A82A47">
              <w:rPr>
                <w:rFonts w:eastAsia="Times New Roman"/>
              </w:rPr>
              <w:t>Total</w:t>
            </w:r>
          </w:p>
        </w:tc>
      </w:tr>
      <w:tr w:rsidR="00A82A47" w:rsidRPr="00A82A47" w14:paraId="4EDA65C6" w14:textId="77777777" w:rsidTr="0075339A">
        <w:trPr>
          <w:tblCellSpacing w:w="15" w:type="dxa"/>
          <w:jc w:val="center"/>
        </w:trPr>
        <w:tc>
          <w:tcPr>
            <w:tcW w:w="3735" w:type="dxa"/>
            <w:tcBorders>
              <w:top w:val="single" w:sz="4" w:space="0" w:color="auto"/>
            </w:tcBorders>
            <w:vAlign w:val="center"/>
            <w:hideMark/>
          </w:tcPr>
          <w:p w14:paraId="7011FF88" w14:textId="77777777" w:rsidR="00A82A47" w:rsidRPr="00A82A47" w:rsidRDefault="00A82A47" w:rsidP="00A82A47">
            <w:pPr>
              <w:rPr>
                <w:rFonts w:eastAsia="Times New Roman"/>
              </w:rPr>
            </w:pPr>
            <w:r w:rsidRPr="00A82A47">
              <w:rPr>
                <w:rFonts w:eastAsia="Times New Roman"/>
              </w:rPr>
              <w:t>Adequate</w:t>
            </w:r>
          </w:p>
        </w:tc>
        <w:tc>
          <w:tcPr>
            <w:tcW w:w="2310" w:type="dxa"/>
            <w:tcBorders>
              <w:top w:val="single" w:sz="4" w:space="0" w:color="auto"/>
            </w:tcBorders>
            <w:vAlign w:val="center"/>
            <w:hideMark/>
          </w:tcPr>
          <w:p w14:paraId="7D84FC37" w14:textId="77777777" w:rsidR="00A82A47" w:rsidRPr="00A82A47" w:rsidRDefault="00A82A47" w:rsidP="00A82A47">
            <w:pPr>
              <w:rPr>
                <w:rFonts w:eastAsia="Times New Roman"/>
              </w:rPr>
            </w:pPr>
            <w:r w:rsidRPr="00A82A47">
              <w:rPr>
                <w:rFonts w:eastAsia="Times New Roman"/>
              </w:rPr>
              <w:t>32</w:t>
            </w:r>
          </w:p>
        </w:tc>
        <w:tc>
          <w:tcPr>
            <w:tcW w:w="1680" w:type="dxa"/>
            <w:tcBorders>
              <w:top w:val="single" w:sz="4" w:space="0" w:color="auto"/>
            </w:tcBorders>
            <w:vAlign w:val="center"/>
            <w:hideMark/>
          </w:tcPr>
          <w:p w14:paraId="71CCB4E7" w14:textId="77777777" w:rsidR="00A82A47" w:rsidRPr="00A82A47" w:rsidRDefault="00A82A47" w:rsidP="00A82A47">
            <w:pPr>
              <w:rPr>
                <w:rFonts w:eastAsia="Times New Roman"/>
              </w:rPr>
            </w:pPr>
            <w:r w:rsidRPr="00A82A47">
              <w:rPr>
                <w:rFonts w:eastAsia="Times New Roman"/>
              </w:rPr>
              <w:t>100</w:t>
            </w:r>
          </w:p>
        </w:tc>
        <w:tc>
          <w:tcPr>
            <w:tcW w:w="1485" w:type="dxa"/>
            <w:tcBorders>
              <w:top w:val="single" w:sz="4" w:space="0" w:color="auto"/>
            </w:tcBorders>
            <w:vAlign w:val="center"/>
            <w:hideMark/>
          </w:tcPr>
          <w:p w14:paraId="5544E38C" w14:textId="77777777" w:rsidR="00A82A47" w:rsidRPr="00A82A47" w:rsidRDefault="00A82A47" w:rsidP="00A82A47">
            <w:pPr>
              <w:rPr>
                <w:rFonts w:eastAsia="Times New Roman"/>
              </w:rPr>
            </w:pPr>
            <w:r w:rsidRPr="00A82A47">
              <w:rPr>
                <w:rFonts w:eastAsia="Times New Roman"/>
              </w:rPr>
              <w:t>132</w:t>
            </w:r>
          </w:p>
        </w:tc>
      </w:tr>
      <w:tr w:rsidR="00A82A47" w:rsidRPr="00A82A47" w14:paraId="7EB87128" w14:textId="77777777" w:rsidTr="0075339A">
        <w:trPr>
          <w:tblCellSpacing w:w="15" w:type="dxa"/>
          <w:jc w:val="center"/>
        </w:trPr>
        <w:tc>
          <w:tcPr>
            <w:tcW w:w="3735" w:type="dxa"/>
            <w:vAlign w:val="center"/>
            <w:hideMark/>
          </w:tcPr>
          <w:p w14:paraId="2B7F36B2" w14:textId="77777777" w:rsidR="00A82A47" w:rsidRPr="00A82A47" w:rsidRDefault="00A82A47" w:rsidP="00A82A47">
            <w:pPr>
              <w:rPr>
                <w:rFonts w:eastAsia="Times New Roman"/>
              </w:rPr>
            </w:pPr>
            <w:r w:rsidRPr="00A82A47">
              <w:rPr>
                <w:rFonts w:eastAsia="Times New Roman"/>
              </w:rPr>
              <w:t>Inadequate</w:t>
            </w:r>
          </w:p>
        </w:tc>
        <w:tc>
          <w:tcPr>
            <w:tcW w:w="2310" w:type="dxa"/>
            <w:vAlign w:val="center"/>
            <w:hideMark/>
          </w:tcPr>
          <w:p w14:paraId="4A62155E" w14:textId="77777777" w:rsidR="00A82A47" w:rsidRPr="00A82A47" w:rsidRDefault="00A82A47" w:rsidP="00A82A47">
            <w:pPr>
              <w:rPr>
                <w:rFonts w:eastAsia="Times New Roman"/>
              </w:rPr>
            </w:pPr>
            <w:r w:rsidRPr="00A82A47">
              <w:rPr>
                <w:rFonts w:eastAsia="Times New Roman"/>
              </w:rPr>
              <w:t>139</w:t>
            </w:r>
          </w:p>
        </w:tc>
        <w:tc>
          <w:tcPr>
            <w:tcW w:w="1680" w:type="dxa"/>
            <w:vAlign w:val="center"/>
            <w:hideMark/>
          </w:tcPr>
          <w:p w14:paraId="2FDA94A9" w14:textId="77777777" w:rsidR="00A82A47" w:rsidRPr="00A82A47" w:rsidRDefault="00A82A47" w:rsidP="00A82A47">
            <w:pPr>
              <w:rPr>
                <w:rFonts w:eastAsia="Times New Roman"/>
              </w:rPr>
            </w:pPr>
            <w:r w:rsidRPr="00A82A47">
              <w:rPr>
                <w:rFonts w:eastAsia="Times New Roman"/>
              </w:rPr>
              <w:t>134</w:t>
            </w:r>
          </w:p>
        </w:tc>
        <w:tc>
          <w:tcPr>
            <w:tcW w:w="1485" w:type="dxa"/>
            <w:vAlign w:val="center"/>
            <w:hideMark/>
          </w:tcPr>
          <w:p w14:paraId="6F85E53E" w14:textId="77777777" w:rsidR="00A82A47" w:rsidRPr="00A82A47" w:rsidRDefault="00A82A47" w:rsidP="00A82A47">
            <w:pPr>
              <w:rPr>
                <w:rFonts w:eastAsia="Times New Roman"/>
              </w:rPr>
            </w:pPr>
            <w:r w:rsidRPr="00A82A47">
              <w:rPr>
                <w:rFonts w:eastAsia="Times New Roman"/>
              </w:rPr>
              <w:t>273</w:t>
            </w:r>
          </w:p>
        </w:tc>
      </w:tr>
      <w:tr w:rsidR="00A82A47" w:rsidRPr="00A82A47" w14:paraId="2BAA3D56" w14:textId="77777777" w:rsidTr="0075339A">
        <w:trPr>
          <w:tblCellSpacing w:w="15" w:type="dxa"/>
          <w:jc w:val="center"/>
        </w:trPr>
        <w:tc>
          <w:tcPr>
            <w:tcW w:w="3735" w:type="dxa"/>
            <w:tcBorders>
              <w:bottom w:val="single" w:sz="4" w:space="0" w:color="auto"/>
            </w:tcBorders>
            <w:vAlign w:val="center"/>
            <w:hideMark/>
          </w:tcPr>
          <w:p w14:paraId="04DA12A2" w14:textId="77777777" w:rsidR="00A82A47" w:rsidRPr="00A82A47" w:rsidRDefault="00A82A47" w:rsidP="00A82A47">
            <w:pPr>
              <w:rPr>
                <w:rFonts w:eastAsia="Times New Roman"/>
              </w:rPr>
            </w:pPr>
            <w:r w:rsidRPr="00A82A47">
              <w:rPr>
                <w:rFonts w:eastAsia="Times New Roman"/>
              </w:rPr>
              <w:t>Total</w:t>
            </w:r>
          </w:p>
        </w:tc>
        <w:tc>
          <w:tcPr>
            <w:tcW w:w="2310" w:type="dxa"/>
            <w:tcBorders>
              <w:bottom w:val="single" w:sz="4" w:space="0" w:color="auto"/>
            </w:tcBorders>
            <w:vAlign w:val="center"/>
            <w:hideMark/>
          </w:tcPr>
          <w:p w14:paraId="3D097125" w14:textId="77777777" w:rsidR="00A82A47" w:rsidRPr="00A82A47" w:rsidRDefault="00A82A47" w:rsidP="00A82A47">
            <w:pPr>
              <w:rPr>
                <w:rFonts w:eastAsia="Times New Roman"/>
              </w:rPr>
            </w:pPr>
            <w:r w:rsidRPr="00A82A47">
              <w:rPr>
                <w:rFonts w:eastAsia="Times New Roman"/>
              </w:rPr>
              <w:t>171</w:t>
            </w:r>
          </w:p>
        </w:tc>
        <w:tc>
          <w:tcPr>
            <w:tcW w:w="1680" w:type="dxa"/>
            <w:tcBorders>
              <w:bottom w:val="single" w:sz="4" w:space="0" w:color="auto"/>
            </w:tcBorders>
            <w:vAlign w:val="center"/>
            <w:hideMark/>
          </w:tcPr>
          <w:p w14:paraId="2E467D4C" w14:textId="77777777" w:rsidR="00A82A47" w:rsidRPr="00A82A47" w:rsidRDefault="00A82A47" w:rsidP="00A82A47">
            <w:pPr>
              <w:rPr>
                <w:rFonts w:eastAsia="Times New Roman"/>
              </w:rPr>
            </w:pPr>
            <w:r w:rsidRPr="00A82A47">
              <w:rPr>
                <w:rFonts w:eastAsia="Times New Roman"/>
              </w:rPr>
              <w:t>234</w:t>
            </w:r>
          </w:p>
        </w:tc>
        <w:tc>
          <w:tcPr>
            <w:tcW w:w="1485" w:type="dxa"/>
            <w:tcBorders>
              <w:bottom w:val="single" w:sz="4" w:space="0" w:color="auto"/>
            </w:tcBorders>
            <w:vAlign w:val="center"/>
            <w:hideMark/>
          </w:tcPr>
          <w:p w14:paraId="614192D1" w14:textId="77777777" w:rsidR="00A82A47" w:rsidRPr="00A82A47" w:rsidRDefault="00A82A47" w:rsidP="00A82A47">
            <w:pPr>
              <w:rPr>
                <w:rFonts w:eastAsia="Times New Roman"/>
              </w:rPr>
            </w:pPr>
            <w:r w:rsidRPr="00A82A47">
              <w:rPr>
                <w:rFonts w:eastAsia="Times New Roman"/>
              </w:rPr>
              <w:t>405</w:t>
            </w:r>
          </w:p>
        </w:tc>
      </w:tr>
    </w:tbl>
    <w:p w14:paraId="6A7ECA2B" w14:textId="77777777" w:rsidR="001315F0" w:rsidRDefault="001315F0" w:rsidP="00A82A47">
      <w:pPr>
        <w:jc w:val="both"/>
        <w:rPr>
          <w:rFonts w:eastAsia="Times New Roman"/>
        </w:rPr>
      </w:pPr>
    </w:p>
    <w:p w14:paraId="3CFFC4D0" w14:textId="5B3DBCBF" w:rsidR="00A82A47" w:rsidRPr="00A82A47" w:rsidRDefault="00A82A47" w:rsidP="001315F0">
      <w:pPr>
        <w:ind w:firstLine="720"/>
        <w:jc w:val="both"/>
        <w:rPr>
          <w:rFonts w:eastAsia="Times New Roman"/>
        </w:rPr>
      </w:pPr>
      <w:r w:rsidRPr="00A82A47">
        <w:rPr>
          <w:rFonts w:eastAsia="Times New Roman"/>
        </w:rPr>
        <w:t>Households with inadequate kitchen ventilation reported considerably more cases of wheezing than households with adequate ventilation.</w:t>
      </w:r>
    </w:p>
    <w:p w14:paraId="402B38CC" w14:textId="77777777" w:rsidR="001315F0" w:rsidRDefault="001315F0" w:rsidP="00A82A47">
      <w:pPr>
        <w:outlineLvl w:val="1"/>
        <w:rPr>
          <w:rFonts w:eastAsia="Times New Roman"/>
        </w:rPr>
      </w:pPr>
    </w:p>
    <w:p w14:paraId="3B2E3EB9" w14:textId="375D9823" w:rsidR="00A82A47" w:rsidRPr="00A82A47" w:rsidRDefault="00A82A47" w:rsidP="001315F0">
      <w:pPr>
        <w:jc w:val="center"/>
        <w:outlineLvl w:val="1"/>
        <w:rPr>
          <w:rFonts w:eastAsia="Times New Roman"/>
        </w:rPr>
      </w:pPr>
      <w:r w:rsidRPr="00A82A47">
        <w:rPr>
          <w:rFonts w:eastAsia="Times New Roman"/>
        </w:rPr>
        <w:t>Table 13</w:t>
      </w:r>
      <w:r w:rsidR="001315F0">
        <w:rPr>
          <w:rFonts w:eastAsia="Times New Roman"/>
          <w:lang w:val="en-US"/>
        </w:rPr>
        <w:t>.</w:t>
      </w:r>
      <w:r w:rsidRPr="00A82A47">
        <w:rPr>
          <w:rFonts w:eastAsia="Times New Roman"/>
        </w:rPr>
        <w:t xml:space="preserve"> Cooking Location versus Eye Irritation</w:t>
      </w:r>
    </w:p>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3150"/>
        <w:gridCol w:w="2430"/>
        <w:gridCol w:w="1980"/>
        <w:gridCol w:w="1620"/>
      </w:tblGrid>
      <w:tr w:rsidR="00A82A47" w:rsidRPr="00A82A47" w14:paraId="58AD4BB7" w14:textId="77777777" w:rsidTr="009A33D8">
        <w:trPr>
          <w:tblHeader/>
          <w:tblCellSpacing w:w="15" w:type="dxa"/>
          <w:jc w:val="center"/>
        </w:trPr>
        <w:tc>
          <w:tcPr>
            <w:tcW w:w="3105" w:type="dxa"/>
            <w:tcBorders>
              <w:top w:val="single" w:sz="4" w:space="0" w:color="auto"/>
            </w:tcBorders>
            <w:vAlign w:val="center"/>
            <w:hideMark/>
          </w:tcPr>
          <w:p w14:paraId="78290CE8" w14:textId="77777777" w:rsidR="00A82A47" w:rsidRPr="00A82A47" w:rsidRDefault="00A82A47" w:rsidP="009A33D8">
            <w:pPr>
              <w:jc w:val="both"/>
              <w:rPr>
                <w:rFonts w:eastAsia="Times New Roman"/>
              </w:rPr>
            </w:pPr>
            <w:r w:rsidRPr="00A82A47">
              <w:rPr>
                <w:rFonts w:eastAsia="Times New Roman"/>
              </w:rPr>
              <w:t>Cooking Location</w:t>
            </w:r>
          </w:p>
        </w:tc>
        <w:tc>
          <w:tcPr>
            <w:tcW w:w="2400" w:type="dxa"/>
            <w:tcBorders>
              <w:top w:val="single" w:sz="4" w:space="0" w:color="auto"/>
            </w:tcBorders>
            <w:vAlign w:val="center"/>
            <w:hideMark/>
          </w:tcPr>
          <w:p w14:paraId="59E107FB" w14:textId="77777777" w:rsidR="00A82A47" w:rsidRPr="00A82A47" w:rsidRDefault="00A82A47" w:rsidP="009A33D8">
            <w:pPr>
              <w:jc w:val="both"/>
              <w:rPr>
                <w:rFonts w:eastAsia="Times New Roman"/>
              </w:rPr>
            </w:pPr>
            <w:r w:rsidRPr="00A82A47">
              <w:rPr>
                <w:rFonts w:eastAsia="Times New Roman"/>
              </w:rPr>
              <w:t>Eye Irritation Yes</w:t>
            </w:r>
          </w:p>
        </w:tc>
        <w:tc>
          <w:tcPr>
            <w:tcW w:w="1950" w:type="dxa"/>
            <w:tcBorders>
              <w:top w:val="single" w:sz="4" w:space="0" w:color="auto"/>
            </w:tcBorders>
            <w:vAlign w:val="center"/>
            <w:hideMark/>
          </w:tcPr>
          <w:p w14:paraId="28FC1103" w14:textId="77777777" w:rsidR="00A82A47" w:rsidRPr="00A82A47" w:rsidRDefault="00A82A47" w:rsidP="009A33D8">
            <w:pPr>
              <w:jc w:val="both"/>
              <w:rPr>
                <w:rFonts w:eastAsia="Times New Roman"/>
              </w:rPr>
            </w:pPr>
            <w:r w:rsidRPr="00A82A47">
              <w:rPr>
                <w:rFonts w:eastAsia="Times New Roman"/>
              </w:rPr>
              <w:t>Eye Irritation No</w:t>
            </w:r>
          </w:p>
        </w:tc>
        <w:tc>
          <w:tcPr>
            <w:tcW w:w="1575" w:type="dxa"/>
            <w:tcBorders>
              <w:top w:val="single" w:sz="4" w:space="0" w:color="auto"/>
            </w:tcBorders>
            <w:vAlign w:val="center"/>
            <w:hideMark/>
          </w:tcPr>
          <w:p w14:paraId="692557FC" w14:textId="77777777" w:rsidR="00A82A47" w:rsidRPr="00A82A47" w:rsidRDefault="00A82A47" w:rsidP="009A33D8">
            <w:pPr>
              <w:jc w:val="both"/>
              <w:rPr>
                <w:rFonts w:eastAsia="Times New Roman"/>
              </w:rPr>
            </w:pPr>
            <w:r w:rsidRPr="00A82A47">
              <w:rPr>
                <w:rFonts w:eastAsia="Times New Roman"/>
              </w:rPr>
              <w:t>Total</w:t>
            </w:r>
          </w:p>
        </w:tc>
      </w:tr>
      <w:tr w:rsidR="00A82A47" w:rsidRPr="00A82A47" w14:paraId="18810A43" w14:textId="77777777" w:rsidTr="009A33D8">
        <w:trPr>
          <w:tblCellSpacing w:w="15" w:type="dxa"/>
          <w:jc w:val="center"/>
        </w:trPr>
        <w:tc>
          <w:tcPr>
            <w:tcW w:w="3105" w:type="dxa"/>
            <w:tcBorders>
              <w:top w:val="single" w:sz="4" w:space="0" w:color="auto"/>
            </w:tcBorders>
            <w:vAlign w:val="center"/>
            <w:hideMark/>
          </w:tcPr>
          <w:p w14:paraId="0B3E9E46" w14:textId="77777777" w:rsidR="00A82A47" w:rsidRPr="00A82A47" w:rsidRDefault="00A82A47" w:rsidP="00A82A47">
            <w:pPr>
              <w:rPr>
                <w:rFonts w:eastAsia="Times New Roman"/>
              </w:rPr>
            </w:pPr>
            <w:r w:rsidRPr="00A82A47">
              <w:rPr>
                <w:rFonts w:eastAsia="Times New Roman"/>
              </w:rPr>
              <w:t>Indoor</w:t>
            </w:r>
          </w:p>
        </w:tc>
        <w:tc>
          <w:tcPr>
            <w:tcW w:w="2400" w:type="dxa"/>
            <w:tcBorders>
              <w:top w:val="single" w:sz="4" w:space="0" w:color="auto"/>
            </w:tcBorders>
            <w:vAlign w:val="center"/>
            <w:hideMark/>
          </w:tcPr>
          <w:p w14:paraId="7C4AA164" w14:textId="77777777" w:rsidR="00A82A47" w:rsidRPr="00A82A47" w:rsidRDefault="00A82A47" w:rsidP="00A82A47">
            <w:pPr>
              <w:rPr>
                <w:rFonts w:eastAsia="Times New Roman"/>
              </w:rPr>
            </w:pPr>
            <w:r w:rsidRPr="00A82A47">
              <w:rPr>
                <w:rFonts w:eastAsia="Times New Roman"/>
              </w:rPr>
              <w:t>223</w:t>
            </w:r>
          </w:p>
        </w:tc>
        <w:tc>
          <w:tcPr>
            <w:tcW w:w="1950" w:type="dxa"/>
            <w:tcBorders>
              <w:top w:val="single" w:sz="4" w:space="0" w:color="auto"/>
            </w:tcBorders>
            <w:vAlign w:val="center"/>
            <w:hideMark/>
          </w:tcPr>
          <w:p w14:paraId="561E81D9" w14:textId="77777777" w:rsidR="00A82A47" w:rsidRPr="00A82A47" w:rsidRDefault="00A82A47" w:rsidP="00A82A47">
            <w:pPr>
              <w:rPr>
                <w:rFonts w:eastAsia="Times New Roman"/>
              </w:rPr>
            </w:pPr>
            <w:r w:rsidRPr="00A82A47">
              <w:rPr>
                <w:rFonts w:eastAsia="Times New Roman"/>
              </w:rPr>
              <w:t>66</w:t>
            </w:r>
          </w:p>
        </w:tc>
        <w:tc>
          <w:tcPr>
            <w:tcW w:w="1575" w:type="dxa"/>
            <w:tcBorders>
              <w:top w:val="single" w:sz="4" w:space="0" w:color="auto"/>
            </w:tcBorders>
            <w:vAlign w:val="center"/>
            <w:hideMark/>
          </w:tcPr>
          <w:p w14:paraId="6B6839DF" w14:textId="77777777" w:rsidR="00A82A47" w:rsidRPr="00A82A47" w:rsidRDefault="00A82A47" w:rsidP="00A82A47">
            <w:pPr>
              <w:rPr>
                <w:rFonts w:eastAsia="Times New Roman"/>
              </w:rPr>
            </w:pPr>
            <w:r w:rsidRPr="00A82A47">
              <w:rPr>
                <w:rFonts w:eastAsia="Times New Roman"/>
              </w:rPr>
              <w:t>289</w:t>
            </w:r>
          </w:p>
        </w:tc>
      </w:tr>
      <w:tr w:rsidR="00A82A47" w:rsidRPr="00A82A47" w14:paraId="6D284712" w14:textId="77777777" w:rsidTr="009A33D8">
        <w:trPr>
          <w:tblCellSpacing w:w="15" w:type="dxa"/>
          <w:jc w:val="center"/>
        </w:trPr>
        <w:tc>
          <w:tcPr>
            <w:tcW w:w="3105" w:type="dxa"/>
            <w:vAlign w:val="center"/>
            <w:hideMark/>
          </w:tcPr>
          <w:p w14:paraId="297375B2" w14:textId="77777777" w:rsidR="00A82A47" w:rsidRPr="00A82A47" w:rsidRDefault="00A82A47" w:rsidP="00A82A47">
            <w:pPr>
              <w:rPr>
                <w:rFonts w:eastAsia="Times New Roman"/>
              </w:rPr>
            </w:pPr>
            <w:r w:rsidRPr="00A82A47">
              <w:rPr>
                <w:rFonts w:eastAsia="Times New Roman"/>
              </w:rPr>
              <w:t>Outdoor</w:t>
            </w:r>
          </w:p>
        </w:tc>
        <w:tc>
          <w:tcPr>
            <w:tcW w:w="2400" w:type="dxa"/>
            <w:vAlign w:val="center"/>
            <w:hideMark/>
          </w:tcPr>
          <w:p w14:paraId="4D7700D5" w14:textId="77777777" w:rsidR="00A82A47" w:rsidRPr="00A82A47" w:rsidRDefault="00A82A47" w:rsidP="00A82A47">
            <w:pPr>
              <w:rPr>
                <w:rFonts w:eastAsia="Times New Roman"/>
              </w:rPr>
            </w:pPr>
            <w:r w:rsidRPr="00A82A47">
              <w:rPr>
                <w:rFonts w:eastAsia="Times New Roman"/>
              </w:rPr>
              <w:t>46</w:t>
            </w:r>
          </w:p>
        </w:tc>
        <w:tc>
          <w:tcPr>
            <w:tcW w:w="1950" w:type="dxa"/>
            <w:vAlign w:val="center"/>
            <w:hideMark/>
          </w:tcPr>
          <w:p w14:paraId="6967DD0B" w14:textId="77777777" w:rsidR="00A82A47" w:rsidRPr="00A82A47" w:rsidRDefault="00A82A47" w:rsidP="00A82A47">
            <w:pPr>
              <w:rPr>
                <w:rFonts w:eastAsia="Times New Roman"/>
              </w:rPr>
            </w:pPr>
            <w:r w:rsidRPr="00A82A47">
              <w:rPr>
                <w:rFonts w:eastAsia="Times New Roman"/>
              </w:rPr>
              <w:t>70</w:t>
            </w:r>
          </w:p>
        </w:tc>
        <w:tc>
          <w:tcPr>
            <w:tcW w:w="1575" w:type="dxa"/>
            <w:vAlign w:val="center"/>
            <w:hideMark/>
          </w:tcPr>
          <w:p w14:paraId="5097DDE4" w14:textId="77777777" w:rsidR="00A82A47" w:rsidRPr="00A82A47" w:rsidRDefault="00A82A47" w:rsidP="00A82A47">
            <w:pPr>
              <w:rPr>
                <w:rFonts w:eastAsia="Times New Roman"/>
              </w:rPr>
            </w:pPr>
            <w:r w:rsidRPr="00A82A47">
              <w:rPr>
                <w:rFonts w:eastAsia="Times New Roman"/>
              </w:rPr>
              <w:t>116</w:t>
            </w:r>
          </w:p>
        </w:tc>
      </w:tr>
      <w:tr w:rsidR="00A82A47" w:rsidRPr="00A82A47" w14:paraId="5D6110F3" w14:textId="77777777" w:rsidTr="009A33D8">
        <w:trPr>
          <w:tblCellSpacing w:w="15" w:type="dxa"/>
          <w:jc w:val="center"/>
        </w:trPr>
        <w:tc>
          <w:tcPr>
            <w:tcW w:w="3105" w:type="dxa"/>
            <w:tcBorders>
              <w:bottom w:val="single" w:sz="4" w:space="0" w:color="auto"/>
            </w:tcBorders>
            <w:vAlign w:val="center"/>
            <w:hideMark/>
          </w:tcPr>
          <w:p w14:paraId="3D3B762D" w14:textId="77777777" w:rsidR="00A82A47" w:rsidRPr="00A82A47" w:rsidRDefault="00A82A47" w:rsidP="00A82A47">
            <w:pPr>
              <w:rPr>
                <w:rFonts w:eastAsia="Times New Roman"/>
              </w:rPr>
            </w:pPr>
            <w:r w:rsidRPr="00A82A47">
              <w:rPr>
                <w:rFonts w:eastAsia="Times New Roman"/>
              </w:rPr>
              <w:t>Total</w:t>
            </w:r>
          </w:p>
        </w:tc>
        <w:tc>
          <w:tcPr>
            <w:tcW w:w="2400" w:type="dxa"/>
            <w:tcBorders>
              <w:bottom w:val="single" w:sz="4" w:space="0" w:color="auto"/>
            </w:tcBorders>
            <w:vAlign w:val="center"/>
            <w:hideMark/>
          </w:tcPr>
          <w:p w14:paraId="2D3160E9" w14:textId="77777777" w:rsidR="00A82A47" w:rsidRPr="00A82A47" w:rsidRDefault="00A82A47" w:rsidP="00A82A47">
            <w:pPr>
              <w:rPr>
                <w:rFonts w:eastAsia="Times New Roman"/>
              </w:rPr>
            </w:pPr>
            <w:r w:rsidRPr="00A82A47">
              <w:rPr>
                <w:rFonts w:eastAsia="Times New Roman"/>
              </w:rPr>
              <w:t>269</w:t>
            </w:r>
          </w:p>
        </w:tc>
        <w:tc>
          <w:tcPr>
            <w:tcW w:w="1950" w:type="dxa"/>
            <w:tcBorders>
              <w:bottom w:val="single" w:sz="4" w:space="0" w:color="auto"/>
            </w:tcBorders>
            <w:vAlign w:val="center"/>
            <w:hideMark/>
          </w:tcPr>
          <w:p w14:paraId="5A5F85D6" w14:textId="77777777" w:rsidR="00A82A47" w:rsidRPr="00A82A47" w:rsidRDefault="00A82A47" w:rsidP="00A82A47">
            <w:pPr>
              <w:rPr>
                <w:rFonts w:eastAsia="Times New Roman"/>
              </w:rPr>
            </w:pPr>
            <w:r w:rsidRPr="00A82A47">
              <w:rPr>
                <w:rFonts w:eastAsia="Times New Roman"/>
              </w:rPr>
              <w:t>136</w:t>
            </w:r>
          </w:p>
        </w:tc>
        <w:tc>
          <w:tcPr>
            <w:tcW w:w="1575" w:type="dxa"/>
            <w:tcBorders>
              <w:bottom w:val="single" w:sz="4" w:space="0" w:color="auto"/>
            </w:tcBorders>
            <w:vAlign w:val="center"/>
            <w:hideMark/>
          </w:tcPr>
          <w:p w14:paraId="1D9E4F9E" w14:textId="77777777" w:rsidR="00A82A47" w:rsidRPr="00A82A47" w:rsidRDefault="00A82A47" w:rsidP="00A82A47">
            <w:pPr>
              <w:rPr>
                <w:rFonts w:eastAsia="Times New Roman"/>
              </w:rPr>
            </w:pPr>
            <w:r w:rsidRPr="00A82A47">
              <w:rPr>
                <w:rFonts w:eastAsia="Times New Roman"/>
              </w:rPr>
              <w:t>405</w:t>
            </w:r>
          </w:p>
        </w:tc>
      </w:tr>
    </w:tbl>
    <w:p w14:paraId="45D24B34" w14:textId="77777777" w:rsidR="009A33D8" w:rsidRDefault="009A33D8" w:rsidP="009A33D8">
      <w:pPr>
        <w:jc w:val="both"/>
        <w:rPr>
          <w:rFonts w:eastAsia="Times New Roman"/>
        </w:rPr>
      </w:pPr>
    </w:p>
    <w:p w14:paraId="6FD42F17" w14:textId="270A00ED" w:rsidR="00A82A47" w:rsidRPr="00A82A47" w:rsidRDefault="00A82A47" w:rsidP="009A33D8">
      <w:pPr>
        <w:jc w:val="both"/>
        <w:rPr>
          <w:rFonts w:eastAsia="Times New Roman"/>
        </w:rPr>
      </w:pPr>
      <w:r w:rsidRPr="00A82A47">
        <w:rPr>
          <w:rFonts w:eastAsia="Times New Roman"/>
        </w:rPr>
        <w:t>Eye irritation was substantially more common among respondents cooking indoors than those using outdoor kitchens.</w:t>
      </w:r>
    </w:p>
    <w:p w14:paraId="3A1F6603" w14:textId="77777777" w:rsidR="00A82A47" w:rsidRPr="00A82A47" w:rsidRDefault="00A82A47" w:rsidP="001315F0">
      <w:pPr>
        <w:jc w:val="both"/>
        <w:rPr>
          <w:rFonts w:eastAsia="Times New Roman"/>
        </w:rPr>
      </w:pPr>
    </w:p>
    <w:p w14:paraId="61996737" w14:textId="047470C0" w:rsidR="00A82A47" w:rsidRPr="00A82A47" w:rsidRDefault="00A82A47" w:rsidP="001315F0">
      <w:pPr>
        <w:jc w:val="center"/>
        <w:outlineLvl w:val="1"/>
        <w:rPr>
          <w:rFonts w:eastAsia="Times New Roman"/>
        </w:rPr>
      </w:pPr>
      <w:r w:rsidRPr="00A82A47">
        <w:rPr>
          <w:rFonts w:eastAsia="Times New Roman"/>
        </w:rPr>
        <w:t>Table 14</w:t>
      </w:r>
      <w:r w:rsidR="001315F0">
        <w:rPr>
          <w:rFonts w:eastAsia="Times New Roman"/>
          <w:lang w:val="en-US"/>
        </w:rPr>
        <w:t>.</w:t>
      </w:r>
      <w:r w:rsidRPr="00A82A47">
        <w:rPr>
          <w:rFonts w:eastAsia="Times New Roman"/>
        </w:rPr>
        <w:t xml:space="preserve"> Biomass Fuel Use versus Shortness of Breath</w:t>
      </w:r>
    </w:p>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1482"/>
        <w:gridCol w:w="2387"/>
        <w:gridCol w:w="2307"/>
        <w:gridCol w:w="582"/>
      </w:tblGrid>
      <w:tr w:rsidR="00A82A47" w:rsidRPr="00A82A47" w14:paraId="7462C7FE" w14:textId="77777777" w:rsidTr="001315F0">
        <w:trPr>
          <w:tblHeader/>
          <w:tblCellSpacing w:w="15" w:type="dxa"/>
          <w:jc w:val="center"/>
        </w:trPr>
        <w:tc>
          <w:tcPr>
            <w:tcW w:w="0" w:type="auto"/>
            <w:tcBorders>
              <w:top w:val="single" w:sz="4" w:space="0" w:color="auto"/>
            </w:tcBorders>
            <w:vAlign w:val="center"/>
            <w:hideMark/>
          </w:tcPr>
          <w:p w14:paraId="551998EC" w14:textId="77777777" w:rsidR="00A82A47" w:rsidRPr="00A82A47" w:rsidRDefault="00A82A47" w:rsidP="00A82A47">
            <w:pPr>
              <w:jc w:val="center"/>
              <w:rPr>
                <w:rFonts w:eastAsia="Times New Roman"/>
              </w:rPr>
            </w:pPr>
            <w:r w:rsidRPr="00A82A47">
              <w:rPr>
                <w:rFonts w:eastAsia="Times New Roman"/>
              </w:rPr>
              <w:t>Fuel Category</w:t>
            </w:r>
          </w:p>
        </w:tc>
        <w:tc>
          <w:tcPr>
            <w:tcW w:w="0" w:type="auto"/>
            <w:tcBorders>
              <w:top w:val="single" w:sz="4" w:space="0" w:color="auto"/>
            </w:tcBorders>
            <w:vAlign w:val="center"/>
            <w:hideMark/>
          </w:tcPr>
          <w:p w14:paraId="520C7DCF" w14:textId="77777777" w:rsidR="00A82A47" w:rsidRPr="00A82A47" w:rsidRDefault="00A82A47" w:rsidP="00A82A47">
            <w:pPr>
              <w:jc w:val="center"/>
              <w:rPr>
                <w:rFonts w:eastAsia="Times New Roman"/>
              </w:rPr>
            </w:pPr>
            <w:r w:rsidRPr="00A82A47">
              <w:rPr>
                <w:rFonts w:eastAsia="Times New Roman"/>
              </w:rPr>
              <w:t>Shortness of Breath Yes</w:t>
            </w:r>
          </w:p>
        </w:tc>
        <w:tc>
          <w:tcPr>
            <w:tcW w:w="0" w:type="auto"/>
            <w:tcBorders>
              <w:top w:val="single" w:sz="4" w:space="0" w:color="auto"/>
            </w:tcBorders>
            <w:vAlign w:val="center"/>
            <w:hideMark/>
          </w:tcPr>
          <w:p w14:paraId="44435381" w14:textId="77777777" w:rsidR="00A82A47" w:rsidRPr="00A82A47" w:rsidRDefault="00A82A47" w:rsidP="00A82A47">
            <w:pPr>
              <w:jc w:val="center"/>
              <w:rPr>
                <w:rFonts w:eastAsia="Times New Roman"/>
              </w:rPr>
            </w:pPr>
            <w:r w:rsidRPr="00A82A47">
              <w:rPr>
                <w:rFonts w:eastAsia="Times New Roman"/>
              </w:rPr>
              <w:t>Shortness of Breath No</w:t>
            </w:r>
          </w:p>
        </w:tc>
        <w:tc>
          <w:tcPr>
            <w:tcW w:w="0" w:type="auto"/>
            <w:tcBorders>
              <w:top w:val="single" w:sz="4" w:space="0" w:color="auto"/>
            </w:tcBorders>
            <w:vAlign w:val="center"/>
            <w:hideMark/>
          </w:tcPr>
          <w:p w14:paraId="65E74584" w14:textId="77777777" w:rsidR="00A82A47" w:rsidRPr="00A82A47" w:rsidRDefault="00A82A47" w:rsidP="00A82A47">
            <w:pPr>
              <w:jc w:val="center"/>
              <w:rPr>
                <w:rFonts w:eastAsia="Times New Roman"/>
              </w:rPr>
            </w:pPr>
            <w:r w:rsidRPr="00A82A47">
              <w:rPr>
                <w:rFonts w:eastAsia="Times New Roman"/>
              </w:rPr>
              <w:t>Total</w:t>
            </w:r>
          </w:p>
        </w:tc>
      </w:tr>
      <w:tr w:rsidR="00A82A47" w:rsidRPr="00A82A47" w14:paraId="355AD5AA" w14:textId="77777777" w:rsidTr="001315F0">
        <w:trPr>
          <w:tblCellSpacing w:w="15" w:type="dxa"/>
          <w:jc w:val="center"/>
        </w:trPr>
        <w:tc>
          <w:tcPr>
            <w:tcW w:w="0" w:type="auto"/>
            <w:tcBorders>
              <w:top w:val="single" w:sz="4" w:space="0" w:color="auto"/>
            </w:tcBorders>
            <w:vAlign w:val="center"/>
            <w:hideMark/>
          </w:tcPr>
          <w:p w14:paraId="0C9F62D2" w14:textId="77777777" w:rsidR="00A82A47" w:rsidRPr="00A82A47" w:rsidRDefault="00A82A47" w:rsidP="00A82A47">
            <w:pPr>
              <w:rPr>
                <w:rFonts w:eastAsia="Times New Roman"/>
              </w:rPr>
            </w:pPr>
            <w:r w:rsidRPr="00A82A47">
              <w:rPr>
                <w:rFonts w:eastAsia="Times New Roman"/>
              </w:rPr>
              <w:t>Biomass Fuels</w:t>
            </w:r>
          </w:p>
        </w:tc>
        <w:tc>
          <w:tcPr>
            <w:tcW w:w="0" w:type="auto"/>
            <w:tcBorders>
              <w:top w:val="single" w:sz="4" w:space="0" w:color="auto"/>
            </w:tcBorders>
            <w:vAlign w:val="center"/>
            <w:hideMark/>
          </w:tcPr>
          <w:p w14:paraId="599EDC64" w14:textId="77777777" w:rsidR="00A82A47" w:rsidRPr="00A82A47" w:rsidRDefault="00A82A47" w:rsidP="00A82A47">
            <w:pPr>
              <w:rPr>
                <w:rFonts w:eastAsia="Times New Roman"/>
              </w:rPr>
            </w:pPr>
            <w:r w:rsidRPr="00A82A47">
              <w:rPr>
                <w:rFonts w:eastAsia="Times New Roman"/>
              </w:rPr>
              <w:t>143</w:t>
            </w:r>
          </w:p>
        </w:tc>
        <w:tc>
          <w:tcPr>
            <w:tcW w:w="0" w:type="auto"/>
            <w:tcBorders>
              <w:top w:val="single" w:sz="4" w:space="0" w:color="auto"/>
            </w:tcBorders>
            <w:vAlign w:val="center"/>
            <w:hideMark/>
          </w:tcPr>
          <w:p w14:paraId="3E79DAD2" w14:textId="77777777" w:rsidR="00A82A47" w:rsidRPr="00A82A47" w:rsidRDefault="00A82A47" w:rsidP="00A82A47">
            <w:pPr>
              <w:rPr>
                <w:rFonts w:eastAsia="Times New Roman"/>
              </w:rPr>
            </w:pPr>
            <w:r w:rsidRPr="00A82A47">
              <w:rPr>
                <w:rFonts w:eastAsia="Times New Roman"/>
              </w:rPr>
              <w:t>205</w:t>
            </w:r>
          </w:p>
        </w:tc>
        <w:tc>
          <w:tcPr>
            <w:tcW w:w="0" w:type="auto"/>
            <w:tcBorders>
              <w:top w:val="single" w:sz="4" w:space="0" w:color="auto"/>
            </w:tcBorders>
            <w:vAlign w:val="center"/>
            <w:hideMark/>
          </w:tcPr>
          <w:p w14:paraId="63CC72BE" w14:textId="77777777" w:rsidR="00A82A47" w:rsidRPr="00A82A47" w:rsidRDefault="00A82A47" w:rsidP="00A82A47">
            <w:pPr>
              <w:rPr>
                <w:rFonts w:eastAsia="Times New Roman"/>
              </w:rPr>
            </w:pPr>
            <w:r w:rsidRPr="00A82A47">
              <w:rPr>
                <w:rFonts w:eastAsia="Times New Roman"/>
              </w:rPr>
              <w:t>348</w:t>
            </w:r>
          </w:p>
        </w:tc>
      </w:tr>
      <w:tr w:rsidR="00A82A47" w:rsidRPr="00A82A47" w14:paraId="7C7D9BA1" w14:textId="77777777" w:rsidTr="001315F0">
        <w:trPr>
          <w:tblCellSpacing w:w="15" w:type="dxa"/>
          <w:jc w:val="center"/>
        </w:trPr>
        <w:tc>
          <w:tcPr>
            <w:tcW w:w="0" w:type="auto"/>
            <w:vAlign w:val="center"/>
            <w:hideMark/>
          </w:tcPr>
          <w:p w14:paraId="78C3B126" w14:textId="77777777" w:rsidR="00A82A47" w:rsidRPr="00A82A47" w:rsidRDefault="00A82A47" w:rsidP="00A82A47">
            <w:pPr>
              <w:rPr>
                <w:rFonts w:eastAsia="Times New Roman"/>
              </w:rPr>
            </w:pPr>
            <w:r w:rsidRPr="00A82A47">
              <w:rPr>
                <w:rFonts w:eastAsia="Times New Roman"/>
              </w:rPr>
              <w:t>Clean Fuels</w:t>
            </w:r>
          </w:p>
        </w:tc>
        <w:tc>
          <w:tcPr>
            <w:tcW w:w="0" w:type="auto"/>
            <w:vAlign w:val="center"/>
            <w:hideMark/>
          </w:tcPr>
          <w:p w14:paraId="066FE935" w14:textId="77777777" w:rsidR="00A82A47" w:rsidRPr="00A82A47" w:rsidRDefault="00A82A47" w:rsidP="00A82A47">
            <w:pPr>
              <w:rPr>
                <w:rFonts w:eastAsia="Times New Roman"/>
              </w:rPr>
            </w:pPr>
            <w:r w:rsidRPr="00A82A47">
              <w:rPr>
                <w:rFonts w:eastAsia="Times New Roman"/>
              </w:rPr>
              <w:t>6</w:t>
            </w:r>
          </w:p>
        </w:tc>
        <w:tc>
          <w:tcPr>
            <w:tcW w:w="0" w:type="auto"/>
            <w:vAlign w:val="center"/>
            <w:hideMark/>
          </w:tcPr>
          <w:p w14:paraId="0E524709" w14:textId="77777777" w:rsidR="00A82A47" w:rsidRPr="00A82A47" w:rsidRDefault="00A82A47" w:rsidP="00A82A47">
            <w:pPr>
              <w:rPr>
                <w:rFonts w:eastAsia="Times New Roman"/>
              </w:rPr>
            </w:pPr>
            <w:r w:rsidRPr="00A82A47">
              <w:rPr>
                <w:rFonts w:eastAsia="Times New Roman"/>
              </w:rPr>
              <w:t>51</w:t>
            </w:r>
          </w:p>
        </w:tc>
        <w:tc>
          <w:tcPr>
            <w:tcW w:w="0" w:type="auto"/>
            <w:vAlign w:val="center"/>
            <w:hideMark/>
          </w:tcPr>
          <w:p w14:paraId="057BE144" w14:textId="77777777" w:rsidR="00A82A47" w:rsidRPr="00A82A47" w:rsidRDefault="00A82A47" w:rsidP="00A82A47">
            <w:pPr>
              <w:rPr>
                <w:rFonts w:eastAsia="Times New Roman"/>
              </w:rPr>
            </w:pPr>
            <w:r w:rsidRPr="00A82A47">
              <w:rPr>
                <w:rFonts w:eastAsia="Times New Roman"/>
              </w:rPr>
              <w:t>57</w:t>
            </w:r>
          </w:p>
        </w:tc>
      </w:tr>
      <w:tr w:rsidR="00A82A47" w:rsidRPr="00A82A47" w14:paraId="1C03078F" w14:textId="77777777" w:rsidTr="001315F0">
        <w:trPr>
          <w:tblCellSpacing w:w="15" w:type="dxa"/>
          <w:jc w:val="center"/>
        </w:trPr>
        <w:tc>
          <w:tcPr>
            <w:tcW w:w="0" w:type="auto"/>
            <w:tcBorders>
              <w:bottom w:val="single" w:sz="4" w:space="0" w:color="auto"/>
            </w:tcBorders>
            <w:vAlign w:val="center"/>
            <w:hideMark/>
          </w:tcPr>
          <w:p w14:paraId="79C87CF3" w14:textId="77777777" w:rsidR="00A82A47" w:rsidRPr="00A82A47" w:rsidRDefault="00A82A47" w:rsidP="00A82A47">
            <w:pPr>
              <w:rPr>
                <w:rFonts w:eastAsia="Times New Roman"/>
              </w:rPr>
            </w:pPr>
            <w:r w:rsidRPr="00A82A47">
              <w:rPr>
                <w:rFonts w:eastAsia="Times New Roman"/>
              </w:rPr>
              <w:t>Total</w:t>
            </w:r>
          </w:p>
        </w:tc>
        <w:tc>
          <w:tcPr>
            <w:tcW w:w="0" w:type="auto"/>
            <w:tcBorders>
              <w:bottom w:val="single" w:sz="4" w:space="0" w:color="auto"/>
            </w:tcBorders>
            <w:vAlign w:val="center"/>
            <w:hideMark/>
          </w:tcPr>
          <w:p w14:paraId="1B6E7416" w14:textId="77777777" w:rsidR="00A82A47" w:rsidRPr="00A82A47" w:rsidRDefault="00A82A47" w:rsidP="00A82A47">
            <w:pPr>
              <w:rPr>
                <w:rFonts w:eastAsia="Times New Roman"/>
              </w:rPr>
            </w:pPr>
            <w:r w:rsidRPr="00A82A47">
              <w:rPr>
                <w:rFonts w:eastAsia="Times New Roman"/>
              </w:rPr>
              <w:t>149</w:t>
            </w:r>
          </w:p>
        </w:tc>
        <w:tc>
          <w:tcPr>
            <w:tcW w:w="0" w:type="auto"/>
            <w:tcBorders>
              <w:bottom w:val="single" w:sz="4" w:space="0" w:color="auto"/>
            </w:tcBorders>
            <w:vAlign w:val="center"/>
            <w:hideMark/>
          </w:tcPr>
          <w:p w14:paraId="77682291" w14:textId="77777777" w:rsidR="00A82A47" w:rsidRPr="00A82A47" w:rsidRDefault="00A82A47" w:rsidP="00A82A47">
            <w:pPr>
              <w:rPr>
                <w:rFonts w:eastAsia="Times New Roman"/>
              </w:rPr>
            </w:pPr>
            <w:r w:rsidRPr="00A82A47">
              <w:rPr>
                <w:rFonts w:eastAsia="Times New Roman"/>
              </w:rPr>
              <w:t>256</w:t>
            </w:r>
          </w:p>
        </w:tc>
        <w:tc>
          <w:tcPr>
            <w:tcW w:w="0" w:type="auto"/>
            <w:tcBorders>
              <w:bottom w:val="single" w:sz="4" w:space="0" w:color="auto"/>
            </w:tcBorders>
            <w:vAlign w:val="center"/>
            <w:hideMark/>
          </w:tcPr>
          <w:p w14:paraId="710305D1" w14:textId="77777777" w:rsidR="00A82A47" w:rsidRPr="00A82A47" w:rsidRDefault="00A82A47" w:rsidP="00A82A47">
            <w:pPr>
              <w:rPr>
                <w:rFonts w:eastAsia="Times New Roman"/>
              </w:rPr>
            </w:pPr>
            <w:r w:rsidRPr="00A82A47">
              <w:rPr>
                <w:rFonts w:eastAsia="Times New Roman"/>
              </w:rPr>
              <w:t>405</w:t>
            </w:r>
          </w:p>
        </w:tc>
      </w:tr>
    </w:tbl>
    <w:p w14:paraId="26EDAB1B" w14:textId="77777777" w:rsidR="001315F0" w:rsidRDefault="001315F0" w:rsidP="00A82A47">
      <w:pPr>
        <w:jc w:val="both"/>
        <w:rPr>
          <w:rFonts w:eastAsia="Times New Roman"/>
        </w:rPr>
      </w:pPr>
    </w:p>
    <w:p w14:paraId="3B45AA54" w14:textId="02162748" w:rsidR="00A82A47" w:rsidRPr="00A82A47" w:rsidRDefault="00A82A47" w:rsidP="001315F0">
      <w:pPr>
        <w:tabs>
          <w:tab w:val="left" w:pos="720"/>
        </w:tabs>
        <w:ind w:firstLine="720"/>
        <w:jc w:val="both"/>
        <w:rPr>
          <w:rFonts w:eastAsia="Times New Roman"/>
        </w:rPr>
      </w:pPr>
      <w:r w:rsidRPr="00A82A47">
        <w:rPr>
          <w:rFonts w:eastAsia="Times New Roman"/>
        </w:rPr>
        <w:t>Respondents using biomass fuels experienced a much higher prevalence of shortness of breath than households relying on cleaner fuels.</w:t>
      </w:r>
    </w:p>
    <w:p w14:paraId="24F429B5" w14:textId="77777777" w:rsidR="001315F0" w:rsidRDefault="001315F0" w:rsidP="00A82A47">
      <w:pPr>
        <w:outlineLvl w:val="1"/>
        <w:rPr>
          <w:rFonts w:eastAsia="Times New Roman"/>
        </w:rPr>
      </w:pPr>
    </w:p>
    <w:p w14:paraId="7AA426E3" w14:textId="42539904" w:rsidR="00A82A47" w:rsidRPr="00A82A47" w:rsidRDefault="00A82A47" w:rsidP="001315F0">
      <w:pPr>
        <w:jc w:val="center"/>
        <w:outlineLvl w:val="1"/>
        <w:rPr>
          <w:rFonts w:eastAsia="Times New Roman"/>
        </w:rPr>
      </w:pPr>
      <w:r w:rsidRPr="00A82A47">
        <w:rPr>
          <w:rFonts w:eastAsia="Times New Roman"/>
        </w:rPr>
        <w:t>Table 15</w:t>
      </w:r>
      <w:r w:rsidR="001315F0">
        <w:rPr>
          <w:rFonts w:eastAsia="Times New Roman"/>
          <w:lang w:val="en-US"/>
        </w:rPr>
        <w:t>.</w:t>
      </w:r>
      <w:r w:rsidRPr="00A82A47">
        <w:rPr>
          <w:rFonts w:eastAsia="Times New Roman"/>
        </w:rPr>
        <w:t xml:space="preserve"> Ventilation versus Respiratory Symptoms</w:t>
      </w:r>
    </w:p>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1155"/>
        <w:gridCol w:w="3034"/>
        <w:gridCol w:w="1441"/>
        <w:gridCol w:w="582"/>
      </w:tblGrid>
      <w:tr w:rsidR="00A82A47" w:rsidRPr="00A82A47" w14:paraId="0F61BAC5" w14:textId="77777777" w:rsidTr="001315F0">
        <w:trPr>
          <w:tblHeader/>
          <w:tblCellSpacing w:w="15" w:type="dxa"/>
          <w:jc w:val="center"/>
        </w:trPr>
        <w:tc>
          <w:tcPr>
            <w:tcW w:w="0" w:type="auto"/>
            <w:tcBorders>
              <w:top w:val="single" w:sz="4" w:space="0" w:color="auto"/>
              <w:bottom w:val="single" w:sz="4" w:space="0" w:color="auto"/>
            </w:tcBorders>
            <w:vAlign w:val="center"/>
            <w:hideMark/>
          </w:tcPr>
          <w:p w14:paraId="0674D285" w14:textId="77777777" w:rsidR="00A82A47" w:rsidRPr="00A82A47" w:rsidRDefault="00A82A47" w:rsidP="00A82A47">
            <w:pPr>
              <w:jc w:val="center"/>
              <w:rPr>
                <w:rFonts w:eastAsia="Times New Roman"/>
              </w:rPr>
            </w:pPr>
            <w:r w:rsidRPr="00A82A47">
              <w:rPr>
                <w:rFonts w:eastAsia="Times New Roman"/>
              </w:rPr>
              <w:t>Ventilation</w:t>
            </w:r>
          </w:p>
        </w:tc>
        <w:tc>
          <w:tcPr>
            <w:tcW w:w="0" w:type="auto"/>
            <w:tcBorders>
              <w:top w:val="single" w:sz="4" w:space="0" w:color="auto"/>
              <w:bottom w:val="single" w:sz="4" w:space="0" w:color="auto"/>
            </w:tcBorders>
            <w:vAlign w:val="center"/>
            <w:hideMark/>
          </w:tcPr>
          <w:p w14:paraId="4ABCFC20" w14:textId="77777777" w:rsidR="00A82A47" w:rsidRPr="00A82A47" w:rsidRDefault="00A82A47" w:rsidP="00A82A47">
            <w:pPr>
              <w:jc w:val="center"/>
              <w:rPr>
                <w:rFonts w:eastAsia="Times New Roman"/>
              </w:rPr>
            </w:pPr>
            <w:r w:rsidRPr="00A82A47">
              <w:rPr>
                <w:rFonts w:eastAsia="Times New Roman"/>
              </w:rPr>
              <w:t>Respiratory Symptoms Present</w:t>
            </w:r>
          </w:p>
        </w:tc>
        <w:tc>
          <w:tcPr>
            <w:tcW w:w="0" w:type="auto"/>
            <w:tcBorders>
              <w:top w:val="single" w:sz="4" w:space="0" w:color="auto"/>
              <w:bottom w:val="single" w:sz="4" w:space="0" w:color="auto"/>
            </w:tcBorders>
            <w:vAlign w:val="center"/>
            <w:hideMark/>
          </w:tcPr>
          <w:p w14:paraId="4F214039" w14:textId="77777777" w:rsidR="00A82A47" w:rsidRPr="00A82A47" w:rsidRDefault="00A82A47" w:rsidP="00A82A47">
            <w:pPr>
              <w:jc w:val="center"/>
              <w:rPr>
                <w:rFonts w:eastAsia="Times New Roman"/>
              </w:rPr>
            </w:pPr>
            <w:r w:rsidRPr="00A82A47">
              <w:rPr>
                <w:rFonts w:eastAsia="Times New Roman"/>
              </w:rPr>
              <w:t>No Symptoms</w:t>
            </w:r>
          </w:p>
        </w:tc>
        <w:tc>
          <w:tcPr>
            <w:tcW w:w="0" w:type="auto"/>
            <w:tcBorders>
              <w:top w:val="single" w:sz="4" w:space="0" w:color="auto"/>
              <w:bottom w:val="single" w:sz="4" w:space="0" w:color="auto"/>
            </w:tcBorders>
            <w:vAlign w:val="center"/>
            <w:hideMark/>
          </w:tcPr>
          <w:p w14:paraId="49A9BA6D" w14:textId="77777777" w:rsidR="00A82A47" w:rsidRPr="00A82A47" w:rsidRDefault="00A82A47" w:rsidP="00A82A47">
            <w:pPr>
              <w:jc w:val="center"/>
              <w:rPr>
                <w:rFonts w:eastAsia="Times New Roman"/>
              </w:rPr>
            </w:pPr>
            <w:r w:rsidRPr="00A82A47">
              <w:rPr>
                <w:rFonts w:eastAsia="Times New Roman"/>
              </w:rPr>
              <w:t>Total</w:t>
            </w:r>
          </w:p>
        </w:tc>
      </w:tr>
      <w:tr w:rsidR="00A82A47" w:rsidRPr="00A82A47" w14:paraId="237D0705" w14:textId="77777777" w:rsidTr="001315F0">
        <w:trPr>
          <w:tblCellSpacing w:w="15" w:type="dxa"/>
          <w:jc w:val="center"/>
        </w:trPr>
        <w:tc>
          <w:tcPr>
            <w:tcW w:w="0" w:type="auto"/>
            <w:vAlign w:val="center"/>
            <w:hideMark/>
          </w:tcPr>
          <w:p w14:paraId="3346E2DF" w14:textId="77777777" w:rsidR="00A82A47" w:rsidRPr="00A82A47" w:rsidRDefault="00A82A47" w:rsidP="00A82A47">
            <w:pPr>
              <w:rPr>
                <w:rFonts w:eastAsia="Times New Roman"/>
              </w:rPr>
            </w:pPr>
            <w:r w:rsidRPr="00A82A47">
              <w:rPr>
                <w:rFonts w:eastAsia="Times New Roman"/>
              </w:rPr>
              <w:t>Adequate</w:t>
            </w:r>
          </w:p>
        </w:tc>
        <w:tc>
          <w:tcPr>
            <w:tcW w:w="0" w:type="auto"/>
            <w:vAlign w:val="center"/>
            <w:hideMark/>
          </w:tcPr>
          <w:p w14:paraId="417A4D8B" w14:textId="77777777" w:rsidR="00A82A47" w:rsidRPr="00A82A47" w:rsidRDefault="00A82A47" w:rsidP="00A82A47">
            <w:pPr>
              <w:rPr>
                <w:rFonts w:eastAsia="Times New Roman"/>
              </w:rPr>
            </w:pPr>
            <w:r w:rsidRPr="00A82A47">
              <w:rPr>
                <w:rFonts w:eastAsia="Times New Roman"/>
              </w:rPr>
              <w:t>51</w:t>
            </w:r>
          </w:p>
        </w:tc>
        <w:tc>
          <w:tcPr>
            <w:tcW w:w="0" w:type="auto"/>
            <w:vAlign w:val="center"/>
            <w:hideMark/>
          </w:tcPr>
          <w:p w14:paraId="0BFDA0BF" w14:textId="77777777" w:rsidR="00A82A47" w:rsidRPr="00A82A47" w:rsidRDefault="00A82A47" w:rsidP="00A82A47">
            <w:pPr>
              <w:rPr>
                <w:rFonts w:eastAsia="Times New Roman"/>
              </w:rPr>
            </w:pPr>
            <w:r w:rsidRPr="00A82A47">
              <w:rPr>
                <w:rFonts w:eastAsia="Times New Roman"/>
              </w:rPr>
              <w:t>81</w:t>
            </w:r>
          </w:p>
        </w:tc>
        <w:tc>
          <w:tcPr>
            <w:tcW w:w="0" w:type="auto"/>
            <w:vAlign w:val="center"/>
            <w:hideMark/>
          </w:tcPr>
          <w:p w14:paraId="1C0C6B4C" w14:textId="77777777" w:rsidR="00A82A47" w:rsidRPr="00A82A47" w:rsidRDefault="00A82A47" w:rsidP="00A82A47">
            <w:pPr>
              <w:rPr>
                <w:rFonts w:eastAsia="Times New Roman"/>
              </w:rPr>
            </w:pPr>
            <w:r w:rsidRPr="00A82A47">
              <w:rPr>
                <w:rFonts w:eastAsia="Times New Roman"/>
              </w:rPr>
              <w:t>132</w:t>
            </w:r>
          </w:p>
        </w:tc>
      </w:tr>
      <w:tr w:rsidR="00A82A47" w:rsidRPr="00A82A47" w14:paraId="3FFF004D" w14:textId="77777777" w:rsidTr="001315F0">
        <w:trPr>
          <w:tblCellSpacing w:w="15" w:type="dxa"/>
          <w:jc w:val="center"/>
        </w:trPr>
        <w:tc>
          <w:tcPr>
            <w:tcW w:w="0" w:type="auto"/>
            <w:vAlign w:val="center"/>
            <w:hideMark/>
          </w:tcPr>
          <w:p w14:paraId="0E831E71" w14:textId="77777777" w:rsidR="00A82A47" w:rsidRPr="00A82A47" w:rsidRDefault="00A82A47" w:rsidP="00A82A47">
            <w:pPr>
              <w:rPr>
                <w:rFonts w:eastAsia="Times New Roman"/>
              </w:rPr>
            </w:pPr>
            <w:r w:rsidRPr="00A82A47">
              <w:rPr>
                <w:rFonts w:eastAsia="Times New Roman"/>
              </w:rPr>
              <w:lastRenderedPageBreak/>
              <w:t>Inadequate</w:t>
            </w:r>
          </w:p>
        </w:tc>
        <w:tc>
          <w:tcPr>
            <w:tcW w:w="0" w:type="auto"/>
            <w:vAlign w:val="center"/>
            <w:hideMark/>
          </w:tcPr>
          <w:p w14:paraId="57337D70" w14:textId="77777777" w:rsidR="00A82A47" w:rsidRPr="00A82A47" w:rsidRDefault="00A82A47" w:rsidP="00A82A47">
            <w:pPr>
              <w:rPr>
                <w:rFonts w:eastAsia="Times New Roman"/>
              </w:rPr>
            </w:pPr>
            <w:r w:rsidRPr="00A82A47">
              <w:rPr>
                <w:rFonts w:eastAsia="Times New Roman"/>
              </w:rPr>
              <w:t>208</w:t>
            </w:r>
          </w:p>
        </w:tc>
        <w:tc>
          <w:tcPr>
            <w:tcW w:w="0" w:type="auto"/>
            <w:vAlign w:val="center"/>
            <w:hideMark/>
          </w:tcPr>
          <w:p w14:paraId="6D6007DA" w14:textId="77777777" w:rsidR="00A82A47" w:rsidRPr="00A82A47" w:rsidRDefault="00A82A47" w:rsidP="00A82A47">
            <w:pPr>
              <w:rPr>
                <w:rFonts w:eastAsia="Times New Roman"/>
              </w:rPr>
            </w:pPr>
            <w:r w:rsidRPr="00A82A47">
              <w:rPr>
                <w:rFonts w:eastAsia="Times New Roman"/>
              </w:rPr>
              <w:t>65</w:t>
            </w:r>
          </w:p>
        </w:tc>
        <w:tc>
          <w:tcPr>
            <w:tcW w:w="0" w:type="auto"/>
            <w:vAlign w:val="center"/>
            <w:hideMark/>
          </w:tcPr>
          <w:p w14:paraId="181A320E" w14:textId="77777777" w:rsidR="00A82A47" w:rsidRPr="00A82A47" w:rsidRDefault="00A82A47" w:rsidP="00A82A47">
            <w:pPr>
              <w:rPr>
                <w:rFonts w:eastAsia="Times New Roman"/>
              </w:rPr>
            </w:pPr>
            <w:r w:rsidRPr="00A82A47">
              <w:rPr>
                <w:rFonts w:eastAsia="Times New Roman"/>
              </w:rPr>
              <w:t>273</w:t>
            </w:r>
          </w:p>
        </w:tc>
      </w:tr>
      <w:tr w:rsidR="00A82A47" w:rsidRPr="00A82A47" w14:paraId="4345F23B" w14:textId="77777777" w:rsidTr="001315F0">
        <w:trPr>
          <w:tblCellSpacing w:w="15" w:type="dxa"/>
          <w:jc w:val="center"/>
        </w:trPr>
        <w:tc>
          <w:tcPr>
            <w:tcW w:w="0" w:type="auto"/>
            <w:tcBorders>
              <w:bottom w:val="single" w:sz="4" w:space="0" w:color="auto"/>
            </w:tcBorders>
            <w:vAlign w:val="center"/>
            <w:hideMark/>
          </w:tcPr>
          <w:p w14:paraId="34BB732C" w14:textId="77777777" w:rsidR="00A82A47" w:rsidRPr="00A82A47" w:rsidRDefault="00A82A47" w:rsidP="00A82A47">
            <w:pPr>
              <w:rPr>
                <w:rFonts w:eastAsia="Times New Roman"/>
              </w:rPr>
            </w:pPr>
            <w:r w:rsidRPr="00A82A47">
              <w:rPr>
                <w:rFonts w:eastAsia="Times New Roman"/>
              </w:rPr>
              <w:t>Total</w:t>
            </w:r>
          </w:p>
        </w:tc>
        <w:tc>
          <w:tcPr>
            <w:tcW w:w="0" w:type="auto"/>
            <w:tcBorders>
              <w:bottom w:val="single" w:sz="4" w:space="0" w:color="auto"/>
            </w:tcBorders>
            <w:vAlign w:val="center"/>
            <w:hideMark/>
          </w:tcPr>
          <w:p w14:paraId="163E39BA" w14:textId="77777777" w:rsidR="00A82A47" w:rsidRPr="00A82A47" w:rsidRDefault="00A82A47" w:rsidP="00A82A47">
            <w:pPr>
              <w:rPr>
                <w:rFonts w:eastAsia="Times New Roman"/>
              </w:rPr>
            </w:pPr>
            <w:r w:rsidRPr="00A82A47">
              <w:rPr>
                <w:rFonts w:eastAsia="Times New Roman"/>
              </w:rPr>
              <w:t>259</w:t>
            </w:r>
          </w:p>
        </w:tc>
        <w:tc>
          <w:tcPr>
            <w:tcW w:w="0" w:type="auto"/>
            <w:tcBorders>
              <w:bottom w:val="single" w:sz="4" w:space="0" w:color="auto"/>
            </w:tcBorders>
            <w:vAlign w:val="center"/>
            <w:hideMark/>
          </w:tcPr>
          <w:p w14:paraId="6C3946C5" w14:textId="77777777" w:rsidR="00A82A47" w:rsidRPr="00A82A47" w:rsidRDefault="00A82A47" w:rsidP="00A82A47">
            <w:pPr>
              <w:rPr>
                <w:rFonts w:eastAsia="Times New Roman"/>
              </w:rPr>
            </w:pPr>
            <w:r w:rsidRPr="00A82A47">
              <w:rPr>
                <w:rFonts w:eastAsia="Times New Roman"/>
              </w:rPr>
              <w:t>146</w:t>
            </w:r>
          </w:p>
        </w:tc>
        <w:tc>
          <w:tcPr>
            <w:tcW w:w="0" w:type="auto"/>
            <w:tcBorders>
              <w:bottom w:val="single" w:sz="4" w:space="0" w:color="auto"/>
            </w:tcBorders>
            <w:vAlign w:val="center"/>
            <w:hideMark/>
          </w:tcPr>
          <w:p w14:paraId="6C5CE83A" w14:textId="77777777" w:rsidR="00A82A47" w:rsidRPr="00A82A47" w:rsidRDefault="00A82A47" w:rsidP="00A82A47">
            <w:pPr>
              <w:rPr>
                <w:rFonts w:eastAsia="Times New Roman"/>
              </w:rPr>
            </w:pPr>
            <w:r w:rsidRPr="00A82A47">
              <w:rPr>
                <w:rFonts w:eastAsia="Times New Roman"/>
              </w:rPr>
              <w:t>405</w:t>
            </w:r>
          </w:p>
        </w:tc>
      </w:tr>
    </w:tbl>
    <w:p w14:paraId="5ED90B9C" w14:textId="77777777" w:rsidR="001315F0" w:rsidRDefault="001315F0" w:rsidP="00A82A47">
      <w:pPr>
        <w:jc w:val="both"/>
        <w:rPr>
          <w:rFonts w:eastAsia="Times New Roman"/>
        </w:rPr>
      </w:pPr>
    </w:p>
    <w:p w14:paraId="6D6A9055" w14:textId="1C21FC4E" w:rsidR="00A82A47" w:rsidRPr="00A82A47" w:rsidRDefault="00A82A47" w:rsidP="001315F0">
      <w:pPr>
        <w:ind w:firstLine="720"/>
        <w:jc w:val="both"/>
        <w:rPr>
          <w:rFonts w:eastAsia="Times New Roman"/>
        </w:rPr>
      </w:pPr>
      <w:r w:rsidRPr="00A82A47">
        <w:rPr>
          <w:rFonts w:eastAsia="Times New Roman"/>
        </w:rPr>
        <w:t>More than three-quarters of households with inadequate ventilation reported at least one respiratory symptom, suggesting that poor ventilation may contribute to adverse respiratory health.</w:t>
      </w:r>
    </w:p>
    <w:p w14:paraId="01F0AB44" w14:textId="77777777" w:rsidR="001315F0" w:rsidRDefault="001315F0" w:rsidP="00A82A47">
      <w:pPr>
        <w:keepNext/>
        <w:keepLines/>
        <w:outlineLvl w:val="0"/>
        <w:rPr>
          <w:rFonts w:eastAsia="Times New Roman"/>
          <w:kern w:val="36"/>
        </w:rPr>
      </w:pPr>
    </w:p>
    <w:p w14:paraId="2C2FF0FC" w14:textId="295D78D1" w:rsidR="00A82A47" w:rsidRPr="001315F0" w:rsidRDefault="00A82A47" w:rsidP="00A82A47">
      <w:pPr>
        <w:keepNext/>
        <w:keepLines/>
        <w:outlineLvl w:val="0"/>
        <w:rPr>
          <w:rFonts w:eastAsia="Times New Roman"/>
          <w:i/>
          <w:iCs/>
          <w:kern w:val="36"/>
        </w:rPr>
      </w:pPr>
      <w:r w:rsidRPr="001315F0">
        <w:rPr>
          <w:rFonts w:eastAsia="Times New Roman"/>
          <w:i/>
          <w:iCs/>
          <w:kern w:val="36"/>
        </w:rPr>
        <w:t>Test of Hypotheses</w:t>
      </w:r>
    </w:p>
    <w:p w14:paraId="463CC0CC" w14:textId="77777777" w:rsidR="00A82A47" w:rsidRPr="00A82A47" w:rsidRDefault="00A82A47" w:rsidP="001315F0">
      <w:pPr>
        <w:ind w:firstLine="720"/>
        <w:jc w:val="both"/>
        <w:rPr>
          <w:rFonts w:eastAsia="Times New Roman"/>
        </w:rPr>
      </w:pPr>
      <w:r w:rsidRPr="00A82A47">
        <w:rPr>
          <w:rFonts w:eastAsia="Times New Roman"/>
        </w:rPr>
        <w:t>The hypotheses were tested using the Chi-square (χ²) test of independence at a 5% level of significance (α = 0.05). Where appropriate, binary logistic regression was used to identify predictors of respiratory symptoms while controlling for other variables.</w:t>
      </w:r>
    </w:p>
    <w:p w14:paraId="23BD365E" w14:textId="77777777" w:rsidR="00A82A47" w:rsidRPr="00A82A47" w:rsidRDefault="00A82A47" w:rsidP="00A82A47">
      <w:pPr>
        <w:outlineLvl w:val="0"/>
        <w:rPr>
          <w:rFonts w:eastAsia="Times New Roman"/>
          <w:kern w:val="36"/>
        </w:rPr>
      </w:pPr>
      <w:r w:rsidRPr="00A82A47">
        <w:rPr>
          <w:rFonts w:eastAsia="Times New Roman"/>
          <w:kern w:val="36"/>
        </w:rPr>
        <w:t>Hypothesis One</w:t>
      </w:r>
    </w:p>
    <w:p w14:paraId="2CDB68F9" w14:textId="77777777" w:rsidR="00A82A47" w:rsidRPr="00A82A47" w:rsidRDefault="00A82A47" w:rsidP="00A82A47">
      <w:pPr>
        <w:jc w:val="both"/>
        <w:rPr>
          <w:rFonts w:eastAsia="Times New Roman"/>
        </w:rPr>
      </w:pPr>
      <w:r w:rsidRPr="00A82A47">
        <w:rPr>
          <w:rFonts w:eastAsia="Times New Roman"/>
        </w:rPr>
        <w:t>H0₁: There is no significant association between biomass fuel use and respiratory symptoms among rural households in Toro Local Government Area.</w:t>
      </w:r>
    </w:p>
    <w:p w14:paraId="222B2C6F" w14:textId="77777777" w:rsidR="001315F0" w:rsidRDefault="001315F0" w:rsidP="00A82A47">
      <w:pPr>
        <w:jc w:val="both"/>
        <w:outlineLvl w:val="2"/>
        <w:rPr>
          <w:rFonts w:eastAsia="Times New Roman"/>
        </w:rPr>
      </w:pPr>
    </w:p>
    <w:p w14:paraId="7856F477" w14:textId="59905796" w:rsidR="00A82A47" w:rsidRPr="00A82A47" w:rsidRDefault="00A82A47" w:rsidP="001315F0">
      <w:pPr>
        <w:jc w:val="center"/>
        <w:outlineLvl w:val="2"/>
        <w:rPr>
          <w:rFonts w:eastAsia="Times New Roman"/>
        </w:rPr>
      </w:pPr>
      <w:r w:rsidRPr="00A82A47">
        <w:rPr>
          <w:rFonts w:eastAsia="Times New Roman"/>
        </w:rPr>
        <w:t>Table 16</w:t>
      </w:r>
      <w:r w:rsidR="001315F0">
        <w:rPr>
          <w:rFonts w:eastAsia="Times New Roman"/>
          <w:lang w:val="en-US"/>
        </w:rPr>
        <w:t>.</w:t>
      </w:r>
      <w:r w:rsidRPr="00A82A47">
        <w:rPr>
          <w:rFonts w:eastAsia="Times New Roman"/>
        </w:rPr>
        <w:t xml:space="preserve"> Chi-square Analysis of Biomass Fuel Use and Respiratory Symptoms (Illustrative)</w:t>
      </w:r>
    </w:p>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4137"/>
        <w:gridCol w:w="720"/>
        <w:gridCol w:w="260"/>
        <w:gridCol w:w="780"/>
        <w:gridCol w:w="994"/>
      </w:tblGrid>
      <w:tr w:rsidR="00A82A47" w:rsidRPr="00A82A47" w14:paraId="7AA50D83" w14:textId="77777777" w:rsidTr="001315F0">
        <w:trPr>
          <w:tblHeader/>
          <w:tblCellSpacing w:w="15" w:type="dxa"/>
          <w:jc w:val="center"/>
        </w:trPr>
        <w:tc>
          <w:tcPr>
            <w:tcW w:w="0" w:type="auto"/>
            <w:tcBorders>
              <w:top w:val="single" w:sz="4" w:space="0" w:color="auto"/>
            </w:tcBorders>
            <w:vAlign w:val="center"/>
            <w:hideMark/>
          </w:tcPr>
          <w:p w14:paraId="3AED7B88" w14:textId="77777777" w:rsidR="00A82A47" w:rsidRPr="00A82A47" w:rsidRDefault="00A82A47" w:rsidP="00A82A47">
            <w:pPr>
              <w:jc w:val="center"/>
              <w:rPr>
                <w:rFonts w:eastAsia="Times New Roman"/>
              </w:rPr>
            </w:pPr>
            <w:r w:rsidRPr="00A82A47">
              <w:rPr>
                <w:rFonts w:eastAsia="Times New Roman"/>
              </w:rPr>
              <w:t>Variable</w:t>
            </w:r>
          </w:p>
        </w:tc>
        <w:tc>
          <w:tcPr>
            <w:tcW w:w="0" w:type="auto"/>
            <w:tcBorders>
              <w:top w:val="single" w:sz="4" w:space="0" w:color="auto"/>
            </w:tcBorders>
            <w:vAlign w:val="center"/>
            <w:hideMark/>
          </w:tcPr>
          <w:p w14:paraId="43A8E573" w14:textId="77777777" w:rsidR="00A82A47" w:rsidRPr="00A82A47" w:rsidRDefault="00A82A47" w:rsidP="00A82A47">
            <w:pPr>
              <w:jc w:val="center"/>
              <w:rPr>
                <w:rFonts w:eastAsia="Times New Roman"/>
              </w:rPr>
            </w:pPr>
            <w:r w:rsidRPr="00A82A47">
              <w:rPr>
                <w:rFonts w:eastAsia="Times New Roman"/>
              </w:rPr>
              <w:t>χ²</w:t>
            </w:r>
          </w:p>
        </w:tc>
        <w:tc>
          <w:tcPr>
            <w:tcW w:w="0" w:type="auto"/>
            <w:tcBorders>
              <w:top w:val="single" w:sz="4" w:space="0" w:color="auto"/>
            </w:tcBorders>
            <w:vAlign w:val="center"/>
            <w:hideMark/>
          </w:tcPr>
          <w:p w14:paraId="41774CD6" w14:textId="77777777" w:rsidR="00A82A47" w:rsidRPr="00A82A47" w:rsidRDefault="00A82A47" w:rsidP="00A82A47">
            <w:pPr>
              <w:jc w:val="center"/>
              <w:rPr>
                <w:rFonts w:eastAsia="Times New Roman"/>
              </w:rPr>
            </w:pPr>
            <w:r w:rsidRPr="00A82A47">
              <w:rPr>
                <w:rFonts w:eastAsia="Times New Roman"/>
              </w:rPr>
              <w:t>df</w:t>
            </w:r>
          </w:p>
        </w:tc>
        <w:tc>
          <w:tcPr>
            <w:tcW w:w="0" w:type="auto"/>
            <w:tcBorders>
              <w:top w:val="single" w:sz="4" w:space="0" w:color="auto"/>
            </w:tcBorders>
            <w:vAlign w:val="center"/>
            <w:hideMark/>
          </w:tcPr>
          <w:p w14:paraId="18CB8257" w14:textId="77777777" w:rsidR="00A82A47" w:rsidRPr="00A82A47" w:rsidRDefault="00A82A47" w:rsidP="00A82A47">
            <w:pPr>
              <w:jc w:val="center"/>
              <w:rPr>
                <w:rFonts w:eastAsia="Times New Roman"/>
              </w:rPr>
            </w:pPr>
            <w:r w:rsidRPr="00A82A47">
              <w:rPr>
                <w:rFonts w:eastAsia="Times New Roman"/>
              </w:rPr>
              <w:t>p-value</w:t>
            </w:r>
          </w:p>
        </w:tc>
        <w:tc>
          <w:tcPr>
            <w:tcW w:w="0" w:type="auto"/>
            <w:tcBorders>
              <w:top w:val="single" w:sz="4" w:space="0" w:color="auto"/>
            </w:tcBorders>
            <w:vAlign w:val="center"/>
            <w:hideMark/>
          </w:tcPr>
          <w:p w14:paraId="5253F9DA" w14:textId="77777777" w:rsidR="00A82A47" w:rsidRPr="00A82A47" w:rsidRDefault="00A82A47" w:rsidP="00A82A47">
            <w:pPr>
              <w:jc w:val="center"/>
              <w:rPr>
                <w:rFonts w:eastAsia="Times New Roman"/>
              </w:rPr>
            </w:pPr>
            <w:r w:rsidRPr="00A82A47">
              <w:rPr>
                <w:rFonts w:eastAsia="Times New Roman"/>
              </w:rPr>
              <w:t>Decision</w:t>
            </w:r>
          </w:p>
        </w:tc>
      </w:tr>
      <w:tr w:rsidR="00A82A47" w:rsidRPr="00A82A47" w14:paraId="521B79E4" w14:textId="77777777" w:rsidTr="001315F0">
        <w:trPr>
          <w:tblCellSpacing w:w="15" w:type="dxa"/>
          <w:jc w:val="center"/>
        </w:trPr>
        <w:tc>
          <w:tcPr>
            <w:tcW w:w="0" w:type="auto"/>
            <w:tcBorders>
              <w:top w:val="single" w:sz="4" w:space="0" w:color="auto"/>
              <w:bottom w:val="single" w:sz="4" w:space="0" w:color="auto"/>
            </w:tcBorders>
            <w:vAlign w:val="center"/>
            <w:hideMark/>
          </w:tcPr>
          <w:p w14:paraId="29045B52" w14:textId="77777777" w:rsidR="00A82A47" w:rsidRPr="00A82A47" w:rsidRDefault="00A82A47" w:rsidP="00A82A47">
            <w:pPr>
              <w:rPr>
                <w:rFonts w:eastAsia="Times New Roman"/>
              </w:rPr>
            </w:pPr>
            <w:r w:rsidRPr="00A82A47">
              <w:rPr>
                <w:rFonts w:eastAsia="Times New Roman"/>
              </w:rPr>
              <w:t>Biomass fuel use × Respiratory symptoms</w:t>
            </w:r>
          </w:p>
        </w:tc>
        <w:tc>
          <w:tcPr>
            <w:tcW w:w="0" w:type="auto"/>
            <w:tcBorders>
              <w:top w:val="single" w:sz="4" w:space="0" w:color="auto"/>
              <w:bottom w:val="single" w:sz="4" w:space="0" w:color="auto"/>
            </w:tcBorders>
            <w:vAlign w:val="center"/>
            <w:hideMark/>
          </w:tcPr>
          <w:p w14:paraId="27300EAA" w14:textId="77777777" w:rsidR="00A82A47" w:rsidRPr="00A82A47" w:rsidRDefault="00A82A47" w:rsidP="00A82A47">
            <w:pPr>
              <w:rPr>
                <w:rFonts w:eastAsia="Times New Roman"/>
              </w:rPr>
            </w:pPr>
            <w:r w:rsidRPr="00A82A47">
              <w:rPr>
                <w:rFonts w:eastAsia="Times New Roman"/>
              </w:rPr>
              <w:t>24.673</w:t>
            </w:r>
          </w:p>
        </w:tc>
        <w:tc>
          <w:tcPr>
            <w:tcW w:w="0" w:type="auto"/>
            <w:tcBorders>
              <w:top w:val="single" w:sz="4" w:space="0" w:color="auto"/>
              <w:bottom w:val="single" w:sz="4" w:space="0" w:color="auto"/>
            </w:tcBorders>
            <w:vAlign w:val="center"/>
            <w:hideMark/>
          </w:tcPr>
          <w:p w14:paraId="79AF5A3C" w14:textId="77777777" w:rsidR="00A82A47" w:rsidRPr="00A82A47" w:rsidRDefault="00A82A47" w:rsidP="00A82A47">
            <w:pPr>
              <w:rPr>
                <w:rFonts w:eastAsia="Times New Roman"/>
              </w:rPr>
            </w:pPr>
            <w:r w:rsidRPr="00A82A47">
              <w:rPr>
                <w:rFonts w:eastAsia="Times New Roman"/>
              </w:rPr>
              <w:t>1</w:t>
            </w:r>
          </w:p>
        </w:tc>
        <w:tc>
          <w:tcPr>
            <w:tcW w:w="0" w:type="auto"/>
            <w:tcBorders>
              <w:top w:val="single" w:sz="4" w:space="0" w:color="auto"/>
              <w:bottom w:val="single" w:sz="4" w:space="0" w:color="auto"/>
            </w:tcBorders>
            <w:vAlign w:val="center"/>
            <w:hideMark/>
          </w:tcPr>
          <w:p w14:paraId="57259EC4" w14:textId="77777777" w:rsidR="00A82A47" w:rsidRPr="00A82A47" w:rsidRDefault="00A82A47" w:rsidP="00A82A47">
            <w:pPr>
              <w:rPr>
                <w:rFonts w:eastAsia="Times New Roman"/>
              </w:rPr>
            </w:pPr>
            <w:r w:rsidRPr="00A82A47">
              <w:rPr>
                <w:rFonts w:eastAsia="Times New Roman"/>
              </w:rPr>
              <w:t>&lt;0.001</w:t>
            </w:r>
          </w:p>
        </w:tc>
        <w:tc>
          <w:tcPr>
            <w:tcW w:w="0" w:type="auto"/>
            <w:tcBorders>
              <w:top w:val="single" w:sz="4" w:space="0" w:color="auto"/>
              <w:bottom w:val="single" w:sz="4" w:space="0" w:color="auto"/>
            </w:tcBorders>
            <w:vAlign w:val="center"/>
            <w:hideMark/>
          </w:tcPr>
          <w:p w14:paraId="59489F7E" w14:textId="77777777" w:rsidR="00A82A47" w:rsidRPr="00A82A47" w:rsidRDefault="00A82A47" w:rsidP="00A82A47">
            <w:pPr>
              <w:rPr>
                <w:rFonts w:eastAsia="Times New Roman"/>
              </w:rPr>
            </w:pPr>
            <w:r w:rsidRPr="00A82A47">
              <w:rPr>
                <w:rFonts w:eastAsia="Times New Roman"/>
              </w:rPr>
              <w:t>Reject H₀</w:t>
            </w:r>
          </w:p>
        </w:tc>
      </w:tr>
    </w:tbl>
    <w:p w14:paraId="05742DD3" w14:textId="77777777" w:rsidR="001315F0" w:rsidRDefault="001315F0" w:rsidP="00A82A47">
      <w:pPr>
        <w:jc w:val="both"/>
        <w:rPr>
          <w:rFonts w:eastAsia="Times New Roman"/>
        </w:rPr>
      </w:pPr>
    </w:p>
    <w:p w14:paraId="032006DC" w14:textId="7465FBD4" w:rsidR="00A82A47" w:rsidRDefault="00A82A47" w:rsidP="001315F0">
      <w:pPr>
        <w:ind w:firstLine="720"/>
        <w:jc w:val="both"/>
        <w:rPr>
          <w:rFonts w:eastAsia="Times New Roman"/>
        </w:rPr>
      </w:pPr>
      <w:r w:rsidRPr="00A82A47">
        <w:rPr>
          <w:rFonts w:eastAsia="Times New Roman"/>
        </w:rPr>
        <w:t>The chi-square analysis produced a χ² value of 24.673 with 1 degree of freedom and a p-value &lt; 0.001. Since the p-value is less than the significance level of 0.05, the null hypothesis is rejected. This indicates a statistically significant association between biomass fuel use and respiratory symptoms. Households using biomass fuels were more likely to report respiratory symptoms than households using cleaner fuels.</w:t>
      </w:r>
    </w:p>
    <w:p w14:paraId="077ADC3F" w14:textId="77777777" w:rsidR="001315F0" w:rsidRPr="001315F0" w:rsidRDefault="001315F0" w:rsidP="001315F0">
      <w:pPr>
        <w:ind w:firstLine="720"/>
        <w:jc w:val="both"/>
        <w:rPr>
          <w:rFonts w:eastAsia="Times New Roman"/>
          <w:i/>
          <w:iCs/>
        </w:rPr>
      </w:pPr>
    </w:p>
    <w:p w14:paraId="7EB3D007" w14:textId="77777777" w:rsidR="00A82A47" w:rsidRPr="001315F0" w:rsidRDefault="00A82A47" w:rsidP="00A82A47">
      <w:pPr>
        <w:outlineLvl w:val="0"/>
        <w:rPr>
          <w:rFonts w:eastAsia="Times New Roman"/>
          <w:i/>
          <w:iCs/>
          <w:kern w:val="36"/>
        </w:rPr>
      </w:pPr>
      <w:r w:rsidRPr="001315F0">
        <w:rPr>
          <w:rFonts w:eastAsia="Times New Roman"/>
          <w:i/>
          <w:iCs/>
          <w:kern w:val="36"/>
        </w:rPr>
        <w:t>Hypothesis Two</w:t>
      </w:r>
    </w:p>
    <w:p w14:paraId="53409FE5" w14:textId="77777777" w:rsidR="00A82A47" w:rsidRPr="00A82A47" w:rsidRDefault="00A82A47" w:rsidP="00A82A47">
      <w:pPr>
        <w:jc w:val="both"/>
        <w:rPr>
          <w:rFonts w:eastAsia="Times New Roman"/>
        </w:rPr>
      </w:pPr>
      <w:r w:rsidRPr="00A82A47">
        <w:rPr>
          <w:rFonts w:eastAsia="Times New Roman"/>
        </w:rPr>
        <w:t>H0: There is no significant association between kitchen ventilation and respiratory symptoms.</w:t>
      </w:r>
    </w:p>
    <w:p w14:paraId="717227B3" w14:textId="77777777" w:rsidR="001315F0" w:rsidRDefault="001315F0" w:rsidP="00A82A47">
      <w:pPr>
        <w:spacing w:line="360" w:lineRule="auto"/>
        <w:jc w:val="both"/>
        <w:outlineLvl w:val="2"/>
        <w:rPr>
          <w:rFonts w:eastAsia="Times New Roman"/>
        </w:rPr>
      </w:pPr>
    </w:p>
    <w:p w14:paraId="7142EEA1" w14:textId="5137529D" w:rsidR="00A82A47" w:rsidRPr="00A82A47" w:rsidRDefault="00A82A47" w:rsidP="001315F0">
      <w:pPr>
        <w:jc w:val="center"/>
        <w:outlineLvl w:val="2"/>
        <w:rPr>
          <w:rFonts w:eastAsia="Times New Roman"/>
        </w:rPr>
      </w:pPr>
      <w:r w:rsidRPr="00A82A47">
        <w:rPr>
          <w:rFonts w:eastAsia="Times New Roman"/>
        </w:rPr>
        <w:t>Table 17</w:t>
      </w:r>
      <w:r w:rsidR="001315F0">
        <w:rPr>
          <w:rFonts w:eastAsia="Times New Roman"/>
          <w:lang w:val="en-US"/>
        </w:rPr>
        <w:t>.</w:t>
      </w:r>
      <w:r w:rsidRPr="00A82A47">
        <w:rPr>
          <w:rFonts w:eastAsia="Times New Roman"/>
        </w:rPr>
        <w:t xml:space="preserve"> Chi-square Analysis of Kitchen Ventilation and Respiratory Symptoms (Illustrative)</w:t>
      </w:r>
    </w:p>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4344"/>
        <w:gridCol w:w="720"/>
        <w:gridCol w:w="260"/>
        <w:gridCol w:w="780"/>
        <w:gridCol w:w="994"/>
      </w:tblGrid>
      <w:tr w:rsidR="00A82A47" w:rsidRPr="00A82A47" w14:paraId="0CD28281" w14:textId="77777777" w:rsidTr="001315F0">
        <w:trPr>
          <w:tblHeader/>
          <w:tblCellSpacing w:w="15" w:type="dxa"/>
          <w:jc w:val="center"/>
        </w:trPr>
        <w:tc>
          <w:tcPr>
            <w:tcW w:w="0" w:type="auto"/>
            <w:tcBorders>
              <w:top w:val="single" w:sz="4" w:space="0" w:color="auto"/>
            </w:tcBorders>
            <w:vAlign w:val="center"/>
            <w:hideMark/>
          </w:tcPr>
          <w:p w14:paraId="2FC9798B" w14:textId="77777777" w:rsidR="00A82A47" w:rsidRPr="00A82A47" w:rsidRDefault="00A82A47" w:rsidP="00A82A47">
            <w:pPr>
              <w:jc w:val="center"/>
              <w:rPr>
                <w:rFonts w:eastAsia="Times New Roman"/>
              </w:rPr>
            </w:pPr>
            <w:r w:rsidRPr="00A82A47">
              <w:rPr>
                <w:rFonts w:eastAsia="Times New Roman"/>
              </w:rPr>
              <w:t>Variable</w:t>
            </w:r>
          </w:p>
        </w:tc>
        <w:tc>
          <w:tcPr>
            <w:tcW w:w="0" w:type="auto"/>
            <w:tcBorders>
              <w:top w:val="single" w:sz="4" w:space="0" w:color="auto"/>
            </w:tcBorders>
            <w:vAlign w:val="center"/>
            <w:hideMark/>
          </w:tcPr>
          <w:p w14:paraId="5F48A86E" w14:textId="77777777" w:rsidR="00A82A47" w:rsidRPr="00A82A47" w:rsidRDefault="00A82A47" w:rsidP="00A82A47">
            <w:pPr>
              <w:jc w:val="center"/>
              <w:rPr>
                <w:rFonts w:eastAsia="Times New Roman"/>
              </w:rPr>
            </w:pPr>
            <w:r w:rsidRPr="00A82A47">
              <w:rPr>
                <w:rFonts w:eastAsia="Times New Roman"/>
              </w:rPr>
              <w:t>χ²</w:t>
            </w:r>
          </w:p>
        </w:tc>
        <w:tc>
          <w:tcPr>
            <w:tcW w:w="0" w:type="auto"/>
            <w:tcBorders>
              <w:top w:val="single" w:sz="4" w:space="0" w:color="auto"/>
            </w:tcBorders>
            <w:vAlign w:val="center"/>
            <w:hideMark/>
          </w:tcPr>
          <w:p w14:paraId="01726320" w14:textId="77777777" w:rsidR="00A82A47" w:rsidRPr="00A82A47" w:rsidRDefault="00A82A47" w:rsidP="00A82A47">
            <w:pPr>
              <w:jc w:val="center"/>
              <w:rPr>
                <w:rFonts w:eastAsia="Times New Roman"/>
              </w:rPr>
            </w:pPr>
            <w:r w:rsidRPr="00A82A47">
              <w:rPr>
                <w:rFonts w:eastAsia="Times New Roman"/>
              </w:rPr>
              <w:t>df</w:t>
            </w:r>
          </w:p>
        </w:tc>
        <w:tc>
          <w:tcPr>
            <w:tcW w:w="0" w:type="auto"/>
            <w:tcBorders>
              <w:top w:val="single" w:sz="4" w:space="0" w:color="auto"/>
            </w:tcBorders>
            <w:vAlign w:val="center"/>
            <w:hideMark/>
          </w:tcPr>
          <w:p w14:paraId="1C5169F7" w14:textId="77777777" w:rsidR="00A82A47" w:rsidRPr="00A82A47" w:rsidRDefault="00A82A47" w:rsidP="00A82A47">
            <w:pPr>
              <w:jc w:val="center"/>
              <w:rPr>
                <w:rFonts w:eastAsia="Times New Roman"/>
              </w:rPr>
            </w:pPr>
            <w:r w:rsidRPr="00A82A47">
              <w:rPr>
                <w:rFonts w:eastAsia="Times New Roman"/>
              </w:rPr>
              <w:t>p-value</w:t>
            </w:r>
          </w:p>
        </w:tc>
        <w:tc>
          <w:tcPr>
            <w:tcW w:w="0" w:type="auto"/>
            <w:tcBorders>
              <w:top w:val="single" w:sz="4" w:space="0" w:color="auto"/>
            </w:tcBorders>
            <w:vAlign w:val="center"/>
            <w:hideMark/>
          </w:tcPr>
          <w:p w14:paraId="7A5AEA11" w14:textId="77777777" w:rsidR="00A82A47" w:rsidRPr="00A82A47" w:rsidRDefault="00A82A47" w:rsidP="00A82A47">
            <w:pPr>
              <w:jc w:val="center"/>
              <w:rPr>
                <w:rFonts w:eastAsia="Times New Roman"/>
              </w:rPr>
            </w:pPr>
            <w:r w:rsidRPr="00A82A47">
              <w:rPr>
                <w:rFonts w:eastAsia="Times New Roman"/>
              </w:rPr>
              <w:t>Decision</w:t>
            </w:r>
          </w:p>
        </w:tc>
      </w:tr>
      <w:tr w:rsidR="00A82A47" w:rsidRPr="00A82A47" w14:paraId="3B282808" w14:textId="77777777" w:rsidTr="001315F0">
        <w:trPr>
          <w:tblCellSpacing w:w="15" w:type="dxa"/>
          <w:jc w:val="center"/>
        </w:trPr>
        <w:tc>
          <w:tcPr>
            <w:tcW w:w="0" w:type="auto"/>
            <w:tcBorders>
              <w:top w:val="single" w:sz="4" w:space="0" w:color="auto"/>
              <w:bottom w:val="single" w:sz="4" w:space="0" w:color="auto"/>
            </w:tcBorders>
            <w:vAlign w:val="center"/>
            <w:hideMark/>
          </w:tcPr>
          <w:p w14:paraId="02E55586" w14:textId="77777777" w:rsidR="00A82A47" w:rsidRPr="00A82A47" w:rsidRDefault="00A82A47" w:rsidP="00A82A47">
            <w:pPr>
              <w:rPr>
                <w:rFonts w:eastAsia="Times New Roman"/>
              </w:rPr>
            </w:pPr>
            <w:r w:rsidRPr="00A82A47">
              <w:rPr>
                <w:rFonts w:eastAsia="Times New Roman"/>
              </w:rPr>
              <w:t>Kitchen ventilation × Respiratory symptoms</w:t>
            </w:r>
          </w:p>
        </w:tc>
        <w:tc>
          <w:tcPr>
            <w:tcW w:w="0" w:type="auto"/>
            <w:tcBorders>
              <w:top w:val="single" w:sz="4" w:space="0" w:color="auto"/>
              <w:bottom w:val="single" w:sz="4" w:space="0" w:color="auto"/>
            </w:tcBorders>
            <w:vAlign w:val="center"/>
            <w:hideMark/>
          </w:tcPr>
          <w:p w14:paraId="330EB42C" w14:textId="77777777" w:rsidR="00A82A47" w:rsidRPr="00A82A47" w:rsidRDefault="00A82A47" w:rsidP="00A82A47">
            <w:pPr>
              <w:rPr>
                <w:rFonts w:eastAsia="Times New Roman"/>
              </w:rPr>
            </w:pPr>
            <w:r w:rsidRPr="00A82A47">
              <w:rPr>
                <w:rFonts w:eastAsia="Times New Roman"/>
              </w:rPr>
              <w:t>31.845</w:t>
            </w:r>
          </w:p>
        </w:tc>
        <w:tc>
          <w:tcPr>
            <w:tcW w:w="0" w:type="auto"/>
            <w:tcBorders>
              <w:top w:val="single" w:sz="4" w:space="0" w:color="auto"/>
              <w:bottom w:val="single" w:sz="4" w:space="0" w:color="auto"/>
            </w:tcBorders>
            <w:vAlign w:val="center"/>
            <w:hideMark/>
          </w:tcPr>
          <w:p w14:paraId="5622C232" w14:textId="77777777" w:rsidR="00A82A47" w:rsidRPr="00A82A47" w:rsidRDefault="00A82A47" w:rsidP="00A82A47">
            <w:pPr>
              <w:rPr>
                <w:rFonts w:eastAsia="Times New Roman"/>
              </w:rPr>
            </w:pPr>
            <w:r w:rsidRPr="00A82A47">
              <w:rPr>
                <w:rFonts w:eastAsia="Times New Roman"/>
              </w:rPr>
              <w:t>1</w:t>
            </w:r>
          </w:p>
        </w:tc>
        <w:tc>
          <w:tcPr>
            <w:tcW w:w="0" w:type="auto"/>
            <w:tcBorders>
              <w:top w:val="single" w:sz="4" w:space="0" w:color="auto"/>
              <w:bottom w:val="single" w:sz="4" w:space="0" w:color="auto"/>
            </w:tcBorders>
            <w:vAlign w:val="center"/>
            <w:hideMark/>
          </w:tcPr>
          <w:p w14:paraId="0E80CA37" w14:textId="77777777" w:rsidR="00A82A47" w:rsidRPr="00A82A47" w:rsidRDefault="00A82A47" w:rsidP="00A82A47">
            <w:pPr>
              <w:rPr>
                <w:rFonts w:eastAsia="Times New Roman"/>
              </w:rPr>
            </w:pPr>
            <w:r w:rsidRPr="00A82A47">
              <w:rPr>
                <w:rFonts w:eastAsia="Times New Roman"/>
              </w:rPr>
              <w:t>&lt;0.001</w:t>
            </w:r>
          </w:p>
        </w:tc>
        <w:tc>
          <w:tcPr>
            <w:tcW w:w="0" w:type="auto"/>
            <w:tcBorders>
              <w:top w:val="single" w:sz="4" w:space="0" w:color="auto"/>
              <w:bottom w:val="single" w:sz="4" w:space="0" w:color="auto"/>
            </w:tcBorders>
            <w:vAlign w:val="center"/>
            <w:hideMark/>
          </w:tcPr>
          <w:p w14:paraId="7DDA4F7B" w14:textId="77777777" w:rsidR="00A82A47" w:rsidRPr="00A82A47" w:rsidRDefault="00A82A47" w:rsidP="00A82A47">
            <w:pPr>
              <w:rPr>
                <w:rFonts w:eastAsia="Times New Roman"/>
              </w:rPr>
            </w:pPr>
            <w:r w:rsidRPr="00A82A47">
              <w:rPr>
                <w:rFonts w:eastAsia="Times New Roman"/>
              </w:rPr>
              <w:t>Reject H₀</w:t>
            </w:r>
          </w:p>
        </w:tc>
      </w:tr>
    </w:tbl>
    <w:p w14:paraId="51211872" w14:textId="77777777" w:rsidR="00D73647" w:rsidRDefault="00D73647" w:rsidP="00A82A47">
      <w:pPr>
        <w:jc w:val="both"/>
        <w:rPr>
          <w:rFonts w:eastAsia="Times New Roman"/>
        </w:rPr>
      </w:pPr>
    </w:p>
    <w:p w14:paraId="0E94889C" w14:textId="00EE4D88" w:rsidR="00A82A47" w:rsidRPr="00A82A47" w:rsidRDefault="00A82A47" w:rsidP="00D73647">
      <w:pPr>
        <w:ind w:firstLine="720"/>
        <w:jc w:val="both"/>
        <w:rPr>
          <w:rFonts w:eastAsia="Times New Roman"/>
        </w:rPr>
      </w:pPr>
      <w:r w:rsidRPr="00A82A47">
        <w:rPr>
          <w:rFonts w:eastAsia="Times New Roman"/>
        </w:rPr>
        <w:t>The results indicate a statistically significant relationship between kitchen ventilation and respiratory symptoms (χ² = 31.845, df = 1, p &lt; 0.001). Respondents living in households with inadequate kitchen ventilation experienced significantly higher rates of respiratory problems compared with those in adequately ventilated households.</w:t>
      </w:r>
    </w:p>
    <w:p w14:paraId="35FDABB9" w14:textId="77777777" w:rsidR="00D73647" w:rsidRDefault="00D73647" w:rsidP="00A82A47">
      <w:pPr>
        <w:outlineLvl w:val="0"/>
        <w:rPr>
          <w:rFonts w:eastAsia="Times New Roman"/>
          <w:kern w:val="36"/>
        </w:rPr>
      </w:pPr>
    </w:p>
    <w:p w14:paraId="73498A02" w14:textId="6C8E9BD8" w:rsidR="00A82A47" w:rsidRPr="00D73647" w:rsidRDefault="00A82A47" w:rsidP="00A82A47">
      <w:pPr>
        <w:outlineLvl w:val="0"/>
        <w:rPr>
          <w:rFonts w:eastAsia="Times New Roman"/>
          <w:i/>
          <w:iCs/>
          <w:kern w:val="36"/>
        </w:rPr>
      </w:pPr>
      <w:r w:rsidRPr="00D73647">
        <w:rPr>
          <w:rFonts w:eastAsia="Times New Roman"/>
          <w:i/>
          <w:iCs/>
          <w:kern w:val="36"/>
        </w:rPr>
        <w:t>Hypothesis Three</w:t>
      </w:r>
    </w:p>
    <w:p w14:paraId="6740578D" w14:textId="77777777" w:rsidR="00A82A47" w:rsidRPr="00A82A47" w:rsidRDefault="00A82A47" w:rsidP="00A82A47">
      <w:pPr>
        <w:rPr>
          <w:rFonts w:eastAsia="Times New Roman"/>
        </w:rPr>
      </w:pPr>
      <w:r w:rsidRPr="00A82A47">
        <w:rPr>
          <w:rFonts w:eastAsia="Times New Roman"/>
        </w:rPr>
        <w:t>H0₃: There is no significant association between cooking location and respiratory illness.</w:t>
      </w:r>
    </w:p>
    <w:p w14:paraId="3F6A03A2" w14:textId="77777777" w:rsidR="00D73647" w:rsidRDefault="00D73647" w:rsidP="00A82A47">
      <w:pPr>
        <w:jc w:val="both"/>
        <w:outlineLvl w:val="2"/>
        <w:rPr>
          <w:rFonts w:eastAsia="Times New Roman"/>
        </w:rPr>
      </w:pPr>
    </w:p>
    <w:p w14:paraId="2A6B9A8F" w14:textId="215B7CEF" w:rsidR="00A82A47" w:rsidRPr="00A82A47" w:rsidRDefault="00A82A47" w:rsidP="007A414A">
      <w:pPr>
        <w:jc w:val="center"/>
        <w:outlineLvl w:val="2"/>
        <w:rPr>
          <w:rFonts w:eastAsia="Times New Roman"/>
        </w:rPr>
      </w:pPr>
      <w:r w:rsidRPr="00A82A47">
        <w:rPr>
          <w:rFonts w:eastAsia="Times New Roman"/>
        </w:rPr>
        <w:t>Table 18</w:t>
      </w:r>
      <w:r w:rsidR="00D73647">
        <w:rPr>
          <w:rFonts w:eastAsia="Times New Roman"/>
          <w:lang w:val="en-US"/>
        </w:rPr>
        <w:t xml:space="preserve">. </w:t>
      </w:r>
      <w:r w:rsidRPr="00A82A47">
        <w:rPr>
          <w:rFonts w:eastAsia="Times New Roman"/>
        </w:rPr>
        <w:t>Chi-square Analysis of Cooking Location and Respiratory Illness (Illustrative)</w:t>
      </w:r>
    </w:p>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4464"/>
        <w:gridCol w:w="720"/>
        <w:gridCol w:w="260"/>
        <w:gridCol w:w="780"/>
        <w:gridCol w:w="994"/>
      </w:tblGrid>
      <w:tr w:rsidR="00A82A47" w:rsidRPr="00A82A47" w14:paraId="4CBB0947" w14:textId="77777777" w:rsidTr="007A414A">
        <w:trPr>
          <w:tblHeader/>
          <w:tblCellSpacing w:w="15" w:type="dxa"/>
          <w:jc w:val="center"/>
        </w:trPr>
        <w:tc>
          <w:tcPr>
            <w:tcW w:w="0" w:type="auto"/>
            <w:tcBorders>
              <w:top w:val="single" w:sz="4" w:space="0" w:color="auto"/>
            </w:tcBorders>
            <w:vAlign w:val="center"/>
            <w:hideMark/>
          </w:tcPr>
          <w:p w14:paraId="7D152DB9" w14:textId="77777777" w:rsidR="00A82A47" w:rsidRPr="00A82A47" w:rsidRDefault="00A82A47" w:rsidP="00A82A47">
            <w:pPr>
              <w:jc w:val="center"/>
              <w:rPr>
                <w:rFonts w:eastAsia="Times New Roman"/>
              </w:rPr>
            </w:pPr>
            <w:r w:rsidRPr="00A82A47">
              <w:rPr>
                <w:rFonts w:eastAsia="Times New Roman"/>
              </w:rPr>
              <w:t>Variable</w:t>
            </w:r>
          </w:p>
        </w:tc>
        <w:tc>
          <w:tcPr>
            <w:tcW w:w="0" w:type="auto"/>
            <w:tcBorders>
              <w:top w:val="single" w:sz="4" w:space="0" w:color="auto"/>
            </w:tcBorders>
            <w:vAlign w:val="center"/>
            <w:hideMark/>
          </w:tcPr>
          <w:p w14:paraId="308800E1" w14:textId="77777777" w:rsidR="00A82A47" w:rsidRPr="00A82A47" w:rsidRDefault="00A82A47" w:rsidP="00A82A47">
            <w:pPr>
              <w:jc w:val="center"/>
              <w:rPr>
                <w:rFonts w:eastAsia="Times New Roman"/>
              </w:rPr>
            </w:pPr>
            <w:r w:rsidRPr="00A82A47">
              <w:rPr>
                <w:rFonts w:eastAsia="Times New Roman"/>
              </w:rPr>
              <w:t>χ²</w:t>
            </w:r>
          </w:p>
        </w:tc>
        <w:tc>
          <w:tcPr>
            <w:tcW w:w="0" w:type="auto"/>
            <w:tcBorders>
              <w:top w:val="single" w:sz="4" w:space="0" w:color="auto"/>
            </w:tcBorders>
            <w:vAlign w:val="center"/>
            <w:hideMark/>
          </w:tcPr>
          <w:p w14:paraId="6C967627" w14:textId="77777777" w:rsidR="00A82A47" w:rsidRPr="00A82A47" w:rsidRDefault="00A82A47" w:rsidP="00A82A47">
            <w:pPr>
              <w:jc w:val="center"/>
              <w:rPr>
                <w:rFonts w:eastAsia="Times New Roman"/>
              </w:rPr>
            </w:pPr>
            <w:r w:rsidRPr="00A82A47">
              <w:rPr>
                <w:rFonts w:eastAsia="Times New Roman"/>
              </w:rPr>
              <w:t>df</w:t>
            </w:r>
          </w:p>
        </w:tc>
        <w:tc>
          <w:tcPr>
            <w:tcW w:w="0" w:type="auto"/>
            <w:tcBorders>
              <w:top w:val="single" w:sz="4" w:space="0" w:color="auto"/>
            </w:tcBorders>
            <w:vAlign w:val="center"/>
            <w:hideMark/>
          </w:tcPr>
          <w:p w14:paraId="633F9BC5" w14:textId="77777777" w:rsidR="00A82A47" w:rsidRPr="00A82A47" w:rsidRDefault="00A82A47" w:rsidP="00A82A47">
            <w:pPr>
              <w:jc w:val="center"/>
              <w:rPr>
                <w:rFonts w:eastAsia="Times New Roman"/>
              </w:rPr>
            </w:pPr>
            <w:r w:rsidRPr="00A82A47">
              <w:rPr>
                <w:rFonts w:eastAsia="Times New Roman"/>
              </w:rPr>
              <w:t>p-value</w:t>
            </w:r>
          </w:p>
        </w:tc>
        <w:tc>
          <w:tcPr>
            <w:tcW w:w="0" w:type="auto"/>
            <w:tcBorders>
              <w:top w:val="single" w:sz="4" w:space="0" w:color="auto"/>
            </w:tcBorders>
            <w:vAlign w:val="center"/>
            <w:hideMark/>
          </w:tcPr>
          <w:p w14:paraId="1A47BA19" w14:textId="77777777" w:rsidR="00A82A47" w:rsidRPr="00A82A47" w:rsidRDefault="00A82A47" w:rsidP="00A82A47">
            <w:pPr>
              <w:jc w:val="center"/>
              <w:rPr>
                <w:rFonts w:eastAsia="Times New Roman"/>
              </w:rPr>
            </w:pPr>
            <w:r w:rsidRPr="00A82A47">
              <w:rPr>
                <w:rFonts w:eastAsia="Times New Roman"/>
              </w:rPr>
              <w:t>Decision</w:t>
            </w:r>
          </w:p>
        </w:tc>
      </w:tr>
      <w:tr w:rsidR="00A82A47" w:rsidRPr="00A82A47" w14:paraId="28775DD5" w14:textId="77777777" w:rsidTr="007A414A">
        <w:trPr>
          <w:tblCellSpacing w:w="15" w:type="dxa"/>
          <w:jc w:val="center"/>
        </w:trPr>
        <w:tc>
          <w:tcPr>
            <w:tcW w:w="0" w:type="auto"/>
            <w:tcBorders>
              <w:top w:val="single" w:sz="4" w:space="0" w:color="auto"/>
              <w:bottom w:val="single" w:sz="4" w:space="0" w:color="auto"/>
            </w:tcBorders>
            <w:vAlign w:val="center"/>
            <w:hideMark/>
          </w:tcPr>
          <w:p w14:paraId="3E5FCB79" w14:textId="77777777" w:rsidR="00A82A47" w:rsidRPr="00A82A47" w:rsidRDefault="00A82A47" w:rsidP="00A82A47">
            <w:pPr>
              <w:rPr>
                <w:rFonts w:eastAsia="Times New Roman"/>
              </w:rPr>
            </w:pPr>
            <w:r w:rsidRPr="00A82A47">
              <w:rPr>
                <w:rFonts w:eastAsia="Times New Roman"/>
              </w:rPr>
              <w:t>Indoor/Outdoor cooking × Respiratory illness</w:t>
            </w:r>
          </w:p>
        </w:tc>
        <w:tc>
          <w:tcPr>
            <w:tcW w:w="0" w:type="auto"/>
            <w:tcBorders>
              <w:top w:val="single" w:sz="4" w:space="0" w:color="auto"/>
              <w:bottom w:val="single" w:sz="4" w:space="0" w:color="auto"/>
            </w:tcBorders>
            <w:vAlign w:val="center"/>
            <w:hideMark/>
          </w:tcPr>
          <w:p w14:paraId="7C0DC342" w14:textId="77777777" w:rsidR="00A82A47" w:rsidRPr="00A82A47" w:rsidRDefault="00A82A47" w:rsidP="00A82A47">
            <w:pPr>
              <w:rPr>
                <w:rFonts w:eastAsia="Times New Roman"/>
              </w:rPr>
            </w:pPr>
            <w:r w:rsidRPr="00A82A47">
              <w:rPr>
                <w:rFonts w:eastAsia="Times New Roman"/>
              </w:rPr>
              <w:t>18.562</w:t>
            </w:r>
          </w:p>
        </w:tc>
        <w:tc>
          <w:tcPr>
            <w:tcW w:w="0" w:type="auto"/>
            <w:tcBorders>
              <w:top w:val="single" w:sz="4" w:space="0" w:color="auto"/>
              <w:bottom w:val="single" w:sz="4" w:space="0" w:color="auto"/>
            </w:tcBorders>
            <w:vAlign w:val="center"/>
            <w:hideMark/>
          </w:tcPr>
          <w:p w14:paraId="3708C72B" w14:textId="77777777" w:rsidR="00A82A47" w:rsidRPr="00A82A47" w:rsidRDefault="00A82A47" w:rsidP="00A82A47">
            <w:pPr>
              <w:rPr>
                <w:rFonts w:eastAsia="Times New Roman"/>
              </w:rPr>
            </w:pPr>
            <w:r w:rsidRPr="00A82A47">
              <w:rPr>
                <w:rFonts w:eastAsia="Times New Roman"/>
              </w:rPr>
              <w:t>1</w:t>
            </w:r>
          </w:p>
        </w:tc>
        <w:tc>
          <w:tcPr>
            <w:tcW w:w="0" w:type="auto"/>
            <w:tcBorders>
              <w:top w:val="single" w:sz="4" w:space="0" w:color="auto"/>
              <w:bottom w:val="single" w:sz="4" w:space="0" w:color="auto"/>
            </w:tcBorders>
            <w:vAlign w:val="center"/>
            <w:hideMark/>
          </w:tcPr>
          <w:p w14:paraId="66CD90C3" w14:textId="77777777" w:rsidR="00A82A47" w:rsidRPr="00A82A47" w:rsidRDefault="00A82A47" w:rsidP="00A82A47">
            <w:pPr>
              <w:rPr>
                <w:rFonts w:eastAsia="Times New Roman"/>
              </w:rPr>
            </w:pPr>
            <w:r w:rsidRPr="00A82A47">
              <w:rPr>
                <w:rFonts w:eastAsia="Times New Roman"/>
              </w:rPr>
              <w:t>&lt;0.001</w:t>
            </w:r>
          </w:p>
        </w:tc>
        <w:tc>
          <w:tcPr>
            <w:tcW w:w="0" w:type="auto"/>
            <w:tcBorders>
              <w:top w:val="single" w:sz="4" w:space="0" w:color="auto"/>
              <w:bottom w:val="single" w:sz="4" w:space="0" w:color="auto"/>
            </w:tcBorders>
            <w:vAlign w:val="center"/>
            <w:hideMark/>
          </w:tcPr>
          <w:p w14:paraId="7737885D" w14:textId="77777777" w:rsidR="00A82A47" w:rsidRPr="00A82A47" w:rsidRDefault="00A82A47" w:rsidP="00A82A47">
            <w:pPr>
              <w:rPr>
                <w:rFonts w:eastAsia="Times New Roman"/>
              </w:rPr>
            </w:pPr>
            <w:r w:rsidRPr="00A82A47">
              <w:rPr>
                <w:rFonts w:eastAsia="Times New Roman"/>
              </w:rPr>
              <w:t>Reject H₀</w:t>
            </w:r>
          </w:p>
        </w:tc>
      </w:tr>
    </w:tbl>
    <w:p w14:paraId="017C6CE0" w14:textId="77777777" w:rsidR="007A414A" w:rsidRDefault="007A414A" w:rsidP="00A82A47">
      <w:pPr>
        <w:jc w:val="both"/>
        <w:rPr>
          <w:rFonts w:eastAsia="Times New Roman"/>
        </w:rPr>
      </w:pPr>
    </w:p>
    <w:p w14:paraId="06578C93" w14:textId="052542B2" w:rsidR="00A82A47" w:rsidRPr="00A82A47" w:rsidRDefault="00A82A47" w:rsidP="007A414A">
      <w:pPr>
        <w:ind w:firstLine="720"/>
        <w:jc w:val="both"/>
        <w:rPr>
          <w:rFonts w:eastAsia="Times New Roman"/>
        </w:rPr>
      </w:pPr>
      <w:r w:rsidRPr="00A82A47">
        <w:rPr>
          <w:rFonts w:eastAsia="Times New Roman"/>
        </w:rPr>
        <w:lastRenderedPageBreak/>
        <w:t>The chi-square test indicates a statistically significant association between cooking location and respiratory illness (χ² = 18.562, df = 1, p &lt; 0.001). Respondents who cooked indoors were more likely to report respiratory illnesses than those who cooked outdoors.</w:t>
      </w:r>
    </w:p>
    <w:p w14:paraId="67B88EDC" w14:textId="77777777" w:rsidR="00A82A47" w:rsidRPr="00A82A47" w:rsidRDefault="00A82A47" w:rsidP="00A82A47">
      <w:pPr>
        <w:outlineLvl w:val="0"/>
        <w:rPr>
          <w:rFonts w:eastAsia="Times New Roman"/>
          <w:kern w:val="36"/>
        </w:rPr>
      </w:pPr>
      <w:r w:rsidRPr="00A82A47">
        <w:rPr>
          <w:rFonts w:eastAsia="Times New Roman"/>
          <w:kern w:val="36"/>
        </w:rPr>
        <w:t>Binary Logistic Regression Analysis (Illustrative)</w:t>
      </w:r>
    </w:p>
    <w:p w14:paraId="2E4D7540" w14:textId="77777777" w:rsidR="00A82A47" w:rsidRPr="00A82A47" w:rsidRDefault="00A82A47" w:rsidP="00A82A47">
      <w:pPr>
        <w:jc w:val="both"/>
        <w:rPr>
          <w:rFonts w:eastAsia="Times New Roman"/>
        </w:rPr>
      </w:pPr>
      <w:r w:rsidRPr="00A82A47">
        <w:rPr>
          <w:rFonts w:eastAsia="Times New Roman"/>
        </w:rPr>
        <w:t>Binary logistic regression was performed to identify factors associated with respiratory symptoms after adjusting for potential confounding variables.</w:t>
      </w:r>
    </w:p>
    <w:p w14:paraId="4D5AFACD" w14:textId="77777777" w:rsidR="007A414A" w:rsidRDefault="007A414A" w:rsidP="00A82A47">
      <w:pPr>
        <w:outlineLvl w:val="2"/>
        <w:rPr>
          <w:rFonts w:eastAsia="Times New Roman"/>
        </w:rPr>
      </w:pPr>
    </w:p>
    <w:p w14:paraId="6C97DE3B" w14:textId="619B8013" w:rsidR="00A82A47" w:rsidRPr="00A82A47" w:rsidRDefault="00A82A47" w:rsidP="007A414A">
      <w:pPr>
        <w:jc w:val="center"/>
        <w:outlineLvl w:val="2"/>
        <w:rPr>
          <w:rFonts w:eastAsia="Times New Roman"/>
        </w:rPr>
      </w:pPr>
      <w:r w:rsidRPr="00A82A47">
        <w:rPr>
          <w:rFonts w:eastAsia="Times New Roman"/>
        </w:rPr>
        <w:t>Table 19</w:t>
      </w:r>
      <w:r w:rsidR="007A414A">
        <w:rPr>
          <w:rFonts w:eastAsia="Times New Roman"/>
          <w:lang w:val="en-US"/>
        </w:rPr>
        <w:t>.</w:t>
      </w:r>
      <w:r w:rsidRPr="00A82A47">
        <w:rPr>
          <w:rFonts w:eastAsia="Times New Roman"/>
        </w:rPr>
        <w:t xml:space="preserve"> Logistic Regression Predicting Respiratory Symptoms (Illustrative)</w:t>
      </w:r>
    </w:p>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2921"/>
        <w:gridCol w:w="2800"/>
        <w:gridCol w:w="1020"/>
        <w:gridCol w:w="795"/>
      </w:tblGrid>
      <w:tr w:rsidR="00A82A47" w:rsidRPr="00A82A47" w14:paraId="6FE3064A" w14:textId="77777777" w:rsidTr="007A414A">
        <w:trPr>
          <w:tblHeader/>
          <w:tblCellSpacing w:w="15" w:type="dxa"/>
          <w:jc w:val="center"/>
        </w:trPr>
        <w:tc>
          <w:tcPr>
            <w:tcW w:w="0" w:type="auto"/>
            <w:tcBorders>
              <w:top w:val="single" w:sz="4" w:space="0" w:color="auto"/>
            </w:tcBorders>
            <w:vAlign w:val="center"/>
            <w:hideMark/>
          </w:tcPr>
          <w:p w14:paraId="1935704D" w14:textId="77777777" w:rsidR="00A82A47" w:rsidRPr="00A82A47" w:rsidRDefault="00A82A47" w:rsidP="00A82A47">
            <w:pPr>
              <w:jc w:val="center"/>
              <w:rPr>
                <w:rFonts w:eastAsia="Times New Roman"/>
              </w:rPr>
            </w:pPr>
            <w:r w:rsidRPr="00A82A47">
              <w:rPr>
                <w:rFonts w:eastAsia="Times New Roman"/>
              </w:rPr>
              <w:t>Predictor Variable</w:t>
            </w:r>
          </w:p>
        </w:tc>
        <w:tc>
          <w:tcPr>
            <w:tcW w:w="0" w:type="auto"/>
            <w:tcBorders>
              <w:top w:val="single" w:sz="4" w:space="0" w:color="auto"/>
            </w:tcBorders>
            <w:vAlign w:val="center"/>
            <w:hideMark/>
          </w:tcPr>
          <w:p w14:paraId="3221FEFC" w14:textId="77777777" w:rsidR="00A82A47" w:rsidRPr="00A82A47" w:rsidRDefault="00A82A47" w:rsidP="00A82A47">
            <w:pPr>
              <w:jc w:val="center"/>
              <w:rPr>
                <w:rFonts w:eastAsia="Times New Roman"/>
              </w:rPr>
            </w:pPr>
            <w:r w:rsidRPr="00A82A47">
              <w:rPr>
                <w:rFonts w:eastAsia="Times New Roman"/>
              </w:rPr>
              <w:t>Adjusted Odds Ratio (AOR)</w:t>
            </w:r>
          </w:p>
        </w:tc>
        <w:tc>
          <w:tcPr>
            <w:tcW w:w="0" w:type="auto"/>
            <w:tcBorders>
              <w:top w:val="single" w:sz="4" w:space="0" w:color="auto"/>
            </w:tcBorders>
            <w:vAlign w:val="center"/>
            <w:hideMark/>
          </w:tcPr>
          <w:p w14:paraId="5D3FC82F" w14:textId="77777777" w:rsidR="00A82A47" w:rsidRPr="00A82A47" w:rsidRDefault="00A82A47" w:rsidP="00A82A47">
            <w:pPr>
              <w:jc w:val="center"/>
              <w:rPr>
                <w:rFonts w:eastAsia="Times New Roman"/>
              </w:rPr>
            </w:pPr>
            <w:r w:rsidRPr="00A82A47">
              <w:rPr>
                <w:rFonts w:eastAsia="Times New Roman"/>
              </w:rPr>
              <w:t>95% CI</w:t>
            </w:r>
          </w:p>
        </w:tc>
        <w:tc>
          <w:tcPr>
            <w:tcW w:w="0" w:type="auto"/>
            <w:tcBorders>
              <w:top w:val="single" w:sz="4" w:space="0" w:color="auto"/>
            </w:tcBorders>
            <w:vAlign w:val="center"/>
            <w:hideMark/>
          </w:tcPr>
          <w:p w14:paraId="72EFAD94" w14:textId="77777777" w:rsidR="00A82A47" w:rsidRPr="00A82A47" w:rsidRDefault="00A82A47" w:rsidP="00A82A47">
            <w:pPr>
              <w:jc w:val="center"/>
              <w:rPr>
                <w:rFonts w:eastAsia="Times New Roman"/>
              </w:rPr>
            </w:pPr>
            <w:r w:rsidRPr="00A82A47">
              <w:rPr>
                <w:rFonts w:eastAsia="Times New Roman"/>
              </w:rPr>
              <w:t>p-value</w:t>
            </w:r>
          </w:p>
        </w:tc>
      </w:tr>
      <w:tr w:rsidR="00A82A47" w:rsidRPr="00A82A47" w14:paraId="53767725" w14:textId="77777777" w:rsidTr="007A414A">
        <w:trPr>
          <w:tblCellSpacing w:w="15" w:type="dxa"/>
          <w:jc w:val="center"/>
        </w:trPr>
        <w:tc>
          <w:tcPr>
            <w:tcW w:w="0" w:type="auto"/>
            <w:tcBorders>
              <w:top w:val="single" w:sz="4" w:space="0" w:color="auto"/>
            </w:tcBorders>
            <w:vAlign w:val="center"/>
            <w:hideMark/>
          </w:tcPr>
          <w:p w14:paraId="73754B14" w14:textId="77777777" w:rsidR="00A82A47" w:rsidRPr="00A82A47" w:rsidRDefault="00A82A47" w:rsidP="00A82A47">
            <w:pPr>
              <w:rPr>
                <w:rFonts w:eastAsia="Times New Roman"/>
              </w:rPr>
            </w:pPr>
            <w:r w:rsidRPr="00A82A47">
              <w:rPr>
                <w:rFonts w:eastAsia="Times New Roman"/>
              </w:rPr>
              <w:t>Firewood (vs. clean fuels)</w:t>
            </w:r>
          </w:p>
        </w:tc>
        <w:tc>
          <w:tcPr>
            <w:tcW w:w="0" w:type="auto"/>
            <w:tcBorders>
              <w:top w:val="single" w:sz="4" w:space="0" w:color="auto"/>
            </w:tcBorders>
            <w:vAlign w:val="center"/>
            <w:hideMark/>
          </w:tcPr>
          <w:p w14:paraId="75CE2464" w14:textId="77777777" w:rsidR="00A82A47" w:rsidRPr="00A82A47" w:rsidRDefault="00A82A47" w:rsidP="00A82A47">
            <w:pPr>
              <w:rPr>
                <w:rFonts w:eastAsia="Times New Roman"/>
              </w:rPr>
            </w:pPr>
            <w:r w:rsidRPr="00A82A47">
              <w:rPr>
                <w:rFonts w:eastAsia="Times New Roman"/>
              </w:rPr>
              <w:t>3.42</w:t>
            </w:r>
          </w:p>
        </w:tc>
        <w:tc>
          <w:tcPr>
            <w:tcW w:w="0" w:type="auto"/>
            <w:tcBorders>
              <w:top w:val="single" w:sz="4" w:space="0" w:color="auto"/>
            </w:tcBorders>
            <w:vAlign w:val="center"/>
            <w:hideMark/>
          </w:tcPr>
          <w:p w14:paraId="0057005A" w14:textId="77777777" w:rsidR="00A82A47" w:rsidRPr="00A82A47" w:rsidRDefault="00A82A47" w:rsidP="00A82A47">
            <w:pPr>
              <w:rPr>
                <w:rFonts w:eastAsia="Times New Roman"/>
              </w:rPr>
            </w:pPr>
            <w:r w:rsidRPr="00A82A47">
              <w:rPr>
                <w:rFonts w:eastAsia="Times New Roman"/>
              </w:rPr>
              <w:t>1.95–5.99</w:t>
            </w:r>
          </w:p>
        </w:tc>
        <w:tc>
          <w:tcPr>
            <w:tcW w:w="0" w:type="auto"/>
            <w:tcBorders>
              <w:top w:val="single" w:sz="4" w:space="0" w:color="auto"/>
            </w:tcBorders>
            <w:vAlign w:val="center"/>
            <w:hideMark/>
          </w:tcPr>
          <w:p w14:paraId="24B51F17" w14:textId="77777777" w:rsidR="00A82A47" w:rsidRPr="00A82A47" w:rsidRDefault="00A82A47" w:rsidP="00A82A47">
            <w:pPr>
              <w:rPr>
                <w:rFonts w:eastAsia="Times New Roman"/>
              </w:rPr>
            </w:pPr>
            <w:r w:rsidRPr="00A82A47">
              <w:rPr>
                <w:rFonts w:eastAsia="Times New Roman"/>
              </w:rPr>
              <w:t>&lt;0.001</w:t>
            </w:r>
          </w:p>
        </w:tc>
      </w:tr>
      <w:tr w:rsidR="00A82A47" w:rsidRPr="00A82A47" w14:paraId="6D1D5878" w14:textId="77777777" w:rsidTr="007A414A">
        <w:trPr>
          <w:tblCellSpacing w:w="15" w:type="dxa"/>
          <w:jc w:val="center"/>
        </w:trPr>
        <w:tc>
          <w:tcPr>
            <w:tcW w:w="0" w:type="auto"/>
            <w:vAlign w:val="center"/>
            <w:hideMark/>
          </w:tcPr>
          <w:p w14:paraId="02C59ABD" w14:textId="77777777" w:rsidR="00A82A47" w:rsidRPr="00A82A47" w:rsidRDefault="00A82A47" w:rsidP="00A82A47">
            <w:pPr>
              <w:rPr>
                <w:rFonts w:eastAsia="Times New Roman"/>
              </w:rPr>
            </w:pPr>
            <w:r w:rsidRPr="00A82A47">
              <w:rPr>
                <w:rFonts w:eastAsia="Times New Roman"/>
              </w:rPr>
              <w:t>Inadequate ventilation</w:t>
            </w:r>
          </w:p>
        </w:tc>
        <w:tc>
          <w:tcPr>
            <w:tcW w:w="0" w:type="auto"/>
            <w:vAlign w:val="center"/>
            <w:hideMark/>
          </w:tcPr>
          <w:p w14:paraId="71CE0565" w14:textId="77777777" w:rsidR="00A82A47" w:rsidRPr="00A82A47" w:rsidRDefault="00A82A47" w:rsidP="00A82A47">
            <w:pPr>
              <w:rPr>
                <w:rFonts w:eastAsia="Times New Roman"/>
              </w:rPr>
            </w:pPr>
            <w:r w:rsidRPr="00A82A47">
              <w:rPr>
                <w:rFonts w:eastAsia="Times New Roman"/>
              </w:rPr>
              <w:t>2.81</w:t>
            </w:r>
          </w:p>
        </w:tc>
        <w:tc>
          <w:tcPr>
            <w:tcW w:w="0" w:type="auto"/>
            <w:vAlign w:val="center"/>
            <w:hideMark/>
          </w:tcPr>
          <w:p w14:paraId="07B1F181" w14:textId="77777777" w:rsidR="00A82A47" w:rsidRPr="00A82A47" w:rsidRDefault="00A82A47" w:rsidP="00A82A47">
            <w:pPr>
              <w:rPr>
                <w:rFonts w:eastAsia="Times New Roman"/>
              </w:rPr>
            </w:pPr>
            <w:r w:rsidRPr="00A82A47">
              <w:rPr>
                <w:rFonts w:eastAsia="Times New Roman"/>
              </w:rPr>
              <w:t>1.74–4.53</w:t>
            </w:r>
          </w:p>
        </w:tc>
        <w:tc>
          <w:tcPr>
            <w:tcW w:w="0" w:type="auto"/>
            <w:vAlign w:val="center"/>
            <w:hideMark/>
          </w:tcPr>
          <w:p w14:paraId="508A8501" w14:textId="77777777" w:rsidR="00A82A47" w:rsidRPr="00A82A47" w:rsidRDefault="00A82A47" w:rsidP="00A82A47">
            <w:pPr>
              <w:rPr>
                <w:rFonts w:eastAsia="Times New Roman"/>
              </w:rPr>
            </w:pPr>
            <w:r w:rsidRPr="00A82A47">
              <w:rPr>
                <w:rFonts w:eastAsia="Times New Roman"/>
              </w:rPr>
              <w:t>&lt;0.001</w:t>
            </w:r>
          </w:p>
        </w:tc>
      </w:tr>
      <w:tr w:rsidR="00A82A47" w:rsidRPr="00A82A47" w14:paraId="4085FC59" w14:textId="77777777" w:rsidTr="007A414A">
        <w:trPr>
          <w:tblCellSpacing w:w="15" w:type="dxa"/>
          <w:jc w:val="center"/>
        </w:trPr>
        <w:tc>
          <w:tcPr>
            <w:tcW w:w="0" w:type="auto"/>
            <w:vAlign w:val="center"/>
            <w:hideMark/>
          </w:tcPr>
          <w:p w14:paraId="19D7DD05" w14:textId="77777777" w:rsidR="00A82A47" w:rsidRPr="00A82A47" w:rsidRDefault="00A82A47" w:rsidP="00A82A47">
            <w:pPr>
              <w:rPr>
                <w:rFonts w:eastAsia="Times New Roman"/>
              </w:rPr>
            </w:pPr>
            <w:r w:rsidRPr="00A82A47">
              <w:rPr>
                <w:rFonts w:eastAsia="Times New Roman"/>
              </w:rPr>
              <w:t>Indoor kitchen</w:t>
            </w:r>
          </w:p>
        </w:tc>
        <w:tc>
          <w:tcPr>
            <w:tcW w:w="0" w:type="auto"/>
            <w:vAlign w:val="center"/>
            <w:hideMark/>
          </w:tcPr>
          <w:p w14:paraId="0946D22D" w14:textId="77777777" w:rsidR="00A82A47" w:rsidRPr="00A82A47" w:rsidRDefault="00A82A47" w:rsidP="00A82A47">
            <w:pPr>
              <w:rPr>
                <w:rFonts w:eastAsia="Times New Roman"/>
              </w:rPr>
            </w:pPr>
            <w:r w:rsidRPr="00A82A47">
              <w:rPr>
                <w:rFonts w:eastAsia="Times New Roman"/>
              </w:rPr>
              <w:t>2.36</w:t>
            </w:r>
          </w:p>
        </w:tc>
        <w:tc>
          <w:tcPr>
            <w:tcW w:w="0" w:type="auto"/>
            <w:vAlign w:val="center"/>
            <w:hideMark/>
          </w:tcPr>
          <w:p w14:paraId="7CF9B527" w14:textId="77777777" w:rsidR="00A82A47" w:rsidRPr="00A82A47" w:rsidRDefault="00A82A47" w:rsidP="00A82A47">
            <w:pPr>
              <w:rPr>
                <w:rFonts w:eastAsia="Times New Roman"/>
              </w:rPr>
            </w:pPr>
            <w:r w:rsidRPr="00A82A47">
              <w:rPr>
                <w:rFonts w:eastAsia="Times New Roman"/>
              </w:rPr>
              <w:t>1.39–4.01</w:t>
            </w:r>
          </w:p>
        </w:tc>
        <w:tc>
          <w:tcPr>
            <w:tcW w:w="0" w:type="auto"/>
            <w:vAlign w:val="center"/>
            <w:hideMark/>
          </w:tcPr>
          <w:p w14:paraId="12A78AD6" w14:textId="77777777" w:rsidR="00A82A47" w:rsidRPr="00A82A47" w:rsidRDefault="00A82A47" w:rsidP="00A82A47">
            <w:pPr>
              <w:rPr>
                <w:rFonts w:eastAsia="Times New Roman"/>
              </w:rPr>
            </w:pPr>
            <w:r w:rsidRPr="00A82A47">
              <w:rPr>
                <w:rFonts w:eastAsia="Times New Roman"/>
              </w:rPr>
              <w:t>0.002</w:t>
            </w:r>
          </w:p>
        </w:tc>
      </w:tr>
      <w:tr w:rsidR="00A82A47" w:rsidRPr="00A82A47" w14:paraId="7E1F2139" w14:textId="77777777" w:rsidTr="007A414A">
        <w:trPr>
          <w:tblCellSpacing w:w="15" w:type="dxa"/>
          <w:jc w:val="center"/>
        </w:trPr>
        <w:tc>
          <w:tcPr>
            <w:tcW w:w="0" w:type="auto"/>
            <w:vAlign w:val="center"/>
            <w:hideMark/>
          </w:tcPr>
          <w:p w14:paraId="6F2EBC8B" w14:textId="77777777" w:rsidR="00A82A47" w:rsidRPr="00A82A47" w:rsidRDefault="00A82A47" w:rsidP="00A82A47">
            <w:pPr>
              <w:rPr>
                <w:rFonts w:eastAsia="Times New Roman"/>
              </w:rPr>
            </w:pPr>
            <w:r w:rsidRPr="00A82A47">
              <w:rPr>
                <w:rFonts w:eastAsia="Times New Roman"/>
              </w:rPr>
              <w:t>Cooking ≥3 hours/day</w:t>
            </w:r>
          </w:p>
        </w:tc>
        <w:tc>
          <w:tcPr>
            <w:tcW w:w="0" w:type="auto"/>
            <w:vAlign w:val="center"/>
            <w:hideMark/>
          </w:tcPr>
          <w:p w14:paraId="6F041502" w14:textId="77777777" w:rsidR="00A82A47" w:rsidRPr="00A82A47" w:rsidRDefault="00A82A47" w:rsidP="00A82A47">
            <w:pPr>
              <w:rPr>
                <w:rFonts w:eastAsia="Times New Roman"/>
              </w:rPr>
            </w:pPr>
            <w:r w:rsidRPr="00A82A47">
              <w:rPr>
                <w:rFonts w:eastAsia="Times New Roman"/>
              </w:rPr>
              <w:t>1.89</w:t>
            </w:r>
          </w:p>
        </w:tc>
        <w:tc>
          <w:tcPr>
            <w:tcW w:w="0" w:type="auto"/>
            <w:vAlign w:val="center"/>
            <w:hideMark/>
          </w:tcPr>
          <w:p w14:paraId="0AA6D8F4" w14:textId="77777777" w:rsidR="00A82A47" w:rsidRPr="00A82A47" w:rsidRDefault="00A82A47" w:rsidP="00A82A47">
            <w:pPr>
              <w:rPr>
                <w:rFonts w:eastAsia="Times New Roman"/>
              </w:rPr>
            </w:pPr>
            <w:r w:rsidRPr="00A82A47">
              <w:rPr>
                <w:rFonts w:eastAsia="Times New Roman"/>
              </w:rPr>
              <w:t>1.16–3.09</w:t>
            </w:r>
          </w:p>
        </w:tc>
        <w:tc>
          <w:tcPr>
            <w:tcW w:w="0" w:type="auto"/>
            <w:vAlign w:val="center"/>
            <w:hideMark/>
          </w:tcPr>
          <w:p w14:paraId="3DDDB96B" w14:textId="77777777" w:rsidR="00A82A47" w:rsidRPr="00A82A47" w:rsidRDefault="00A82A47" w:rsidP="00A82A47">
            <w:pPr>
              <w:rPr>
                <w:rFonts w:eastAsia="Times New Roman"/>
              </w:rPr>
            </w:pPr>
            <w:r w:rsidRPr="00A82A47">
              <w:rPr>
                <w:rFonts w:eastAsia="Times New Roman"/>
              </w:rPr>
              <w:t>0.011</w:t>
            </w:r>
          </w:p>
        </w:tc>
      </w:tr>
      <w:tr w:rsidR="00A82A47" w:rsidRPr="00A82A47" w14:paraId="374A11D2" w14:textId="77777777" w:rsidTr="007A414A">
        <w:trPr>
          <w:tblCellSpacing w:w="15" w:type="dxa"/>
          <w:jc w:val="center"/>
        </w:trPr>
        <w:tc>
          <w:tcPr>
            <w:tcW w:w="0" w:type="auto"/>
            <w:vAlign w:val="center"/>
            <w:hideMark/>
          </w:tcPr>
          <w:p w14:paraId="0B4A825E" w14:textId="77777777" w:rsidR="00A82A47" w:rsidRPr="00A82A47" w:rsidRDefault="00A82A47" w:rsidP="00A82A47">
            <w:pPr>
              <w:rPr>
                <w:rFonts w:eastAsia="Times New Roman"/>
              </w:rPr>
            </w:pPr>
            <w:r w:rsidRPr="00A82A47">
              <w:rPr>
                <w:rFonts w:eastAsia="Times New Roman"/>
              </w:rPr>
              <w:t>Female respondent</w:t>
            </w:r>
          </w:p>
        </w:tc>
        <w:tc>
          <w:tcPr>
            <w:tcW w:w="0" w:type="auto"/>
            <w:vAlign w:val="center"/>
            <w:hideMark/>
          </w:tcPr>
          <w:p w14:paraId="447810F6" w14:textId="77777777" w:rsidR="00A82A47" w:rsidRPr="00A82A47" w:rsidRDefault="00A82A47" w:rsidP="00A82A47">
            <w:pPr>
              <w:rPr>
                <w:rFonts w:eastAsia="Times New Roman"/>
              </w:rPr>
            </w:pPr>
            <w:r w:rsidRPr="00A82A47">
              <w:rPr>
                <w:rFonts w:eastAsia="Times New Roman"/>
              </w:rPr>
              <w:t>1.43</w:t>
            </w:r>
          </w:p>
        </w:tc>
        <w:tc>
          <w:tcPr>
            <w:tcW w:w="0" w:type="auto"/>
            <w:vAlign w:val="center"/>
            <w:hideMark/>
          </w:tcPr>
          <w:p w14:paraId="4D2F8BC7" w14:textId="77777777" w:rsidR="00A82A47" w:rsidRPr="00A82A47" w:rsidRDefault="00A82A47" w:rsidP="00A82A47">
            <w:pPr>
              <w:rPr>
                <w:rFonts w:eastAsia="Times New Roman"/>
              </w:rPr>
            </w:pPr>
            <w:r w:rsidRPr="00A82A47">
              <w:rPr>
                <w:rFonts w:eastAsia="Times New Roman"/>
              </w:rPr>
              <w:t>0.89–2.30</w:t>
            </w:r>
          </w:p>
        </w:tc>
        <w:tc>
          <w:tcPr>
            <w:tcW w:w="0" w:type="auto"/>
            <w:vAlign w:val="center"/>
            <w:hideMark/>
          </w:tcPr>
          <w:p w14:paraId="3412260A" w14:textId="77777777" w:rsidR="00A82A47" w:rsidRPr="00A82A47" w:rsidRDefault="00A82A47" w:rsidP="00A82A47">
            <w:pPr>
              <w:rPr>
                <w:rFonts w:eastAsia="Times New Roman"/>
              </w:rPr>
            </w:pPr>
            <w:r w:rsidRPr="00A82A47">
              <w:rPr>
                <w:rFonts w:eastAsia="Times New Roman"/>
              </w:rPr>
              <w:t>0.141</w:t>
            </w:r>
          </w:p>
        </w:tc>
      </w:tr>
      <w:tr w:rsidR="00A82A47" w:rsidRPr="00A82A47" w14:paraId="53CBD410" w14:textId="77777777" w:rsidTr="007A414A">
        <w:trPr>
          <w:tblCellSpacing w:w="15" w:type="dxa"/>
          <w:jc w:val="center"/>
        </w:trPr>
        <w:tc>
          <w:tcPr>
            <w:tcW w:w="0" w:type="auto"/>
            <w:vAlign w:val="center"/>
            <w:hideMark/>
          </w:tcPr>
          <w:p w14:paraId="2F9A6401" w14:textId="77777777" w:rsidR="00A82A47" w:rsidRPr="00A82A47" w:rsidRDefault="00A82A47" w:rsidP="00A82A47">
            <w:pPr>
              <w:rPr>
                <w:rFonts w:eastAsia="Times New Roman"/>
              </w:rPr>
            </w:pPr>
            <w:r w:rsidRPr="00A82A47">
              <w:rPr>
                <w:rFonts w:eastAsia="Times New Roman"/>
              </w:rPr>
              <w:t>Age ≥45 years</w:t>
            </w:r>
          </w:p>
        </w:tc>
        <w:tc>
          <w:tcPr>
            <w:tcW w:w="0" w:type="auto"/>
            <w:vAlign w:val="center"/>
            <w:hideMark/>
          </w:tcPr>
          <w:p w14:paraId="50FB557A" w14:textId="77777777" w:rsidR="00A82A47" w:rsidRPr="00A82A47" w:rsidRDefault="00A82A47" w:rsidP="00A82A47">
            <w:pPr>
              <w:rPr>
                <w:rFonts w:eastAsia="Times New Roman"/>
              </w:rPr>
            </w:pPr>
            <w:r w:rsidRPr="00A82A47">
              <w:rPr>
                <w:rFonts w:eastAsia="Times New Roman"/>
              </w:rPr>
              <w:t>1.28</w:t>
            </w:r>
          </w:p>
        </w:tc>
        <w:tc>
          <w:tcPr>
            <w:tcW w:w="0" w:type="auto"/>
            <w:vAlign w:val="center"/>
            <w:hideMark/>
          </w:tcPr>
          <w:p w14:paraId="550AFE5D" w14:textId="77777777" w:rsidR="00A82A47" w:rsidRPr="00A82A47" w:rsidRDefault="00A82A47" w:rsidP="00A82A47">
            <w:pPr>
              <w:rPr>
                <w:rFonts w:eastAsia="Times New Roman"/>
              </w:rPr>
            </w:pPr>
            <w:r w:rsidRPr="00A82A47">
              <w:rPr>
                <w:rFonts w:eastAsia="Times New Roman"/>
              </w:rPr>
              <w:t>0.79–2.08</w:t>
            </w:r>
          </w:p>
        </w:tc>
        <w:tc>
          <w:tcPr>
            <w:tcW w:w="0" w:type="auto"/>
            <w:vAlign w:val="center"/>
            <w:hideMark/>
          </w:tcPr>
          <w:p w14:paraId="21CD15D8" w14:textId="77777777" w:rsidR="00A82A47" w:rsidRPr="00A82A47" w:rsidRDefault="00A82A47" w:rsidP="00A82A47">
            <w:pPr>
              <w:rPr>
                <w:rFonts w:eastAsia="Times New Roman"/>
              </w:rPr>
            </w:pPr>
            <w:r w:rsidRPr="00A82A47">
              <w:rPr>
                <w:rFonts w:eastAsia="Times New Roman"/>
              </w:rPr>
              <w:t>0.307</w:t>
            </w:r>
          </w:p>
        </w:tc>
      </w:tr>
      <w:tr w:rsidR="00A82A47" w:rsidRPr="00A82A47" w14:paraId="1B65DBB1" w14:textId="77777777" w:rsidTr="007A414A">
        <w:trPr>
          <w:tblCellSpacing w:w="15" w:type="dxa"/>
          <w:jc w:val="center"/>
        </w:trPr>
        <w:tc>
          <w:tcPr>
            <w:tcW w:w="0" w:type="auto"/>
            <w:tcBorders>
              <w:bottom w:val="single" w:sz="4" w:space="0" w:color="auto"/>
            </w:tcBorders>
            <w:vAlign w:val="center"/>
            <w:hideMark/>
          </w:tcPr>
          <w:p w14:paraId="4D93466C" w14:textId="77777777" w:rsidR="00A82A47" w:rsidRPr="00A82A47" w:rsidRDefault="00A82A47" w:rsidP="00A82A47">
            <w:pPr>
              <w:rPr>
                <w:rFonts w:eastAsia="Times New Roman"/>
              </w:rPr>
            </w:pPr>
            <w:r w:rsidRPr="00A82A47">
              <w:rPr>
                <w:rFonts w:eastAsia="Times New Roman"/>
              </w:rPr>
              <w:t>Secondary/Tertiary education</w:t>
            </w:r>
          </w:p>
        </w:tc>
        <w:tc>
          <w:tcPr>
            <w:tcW w:w="0" w:type="auto"/>
            <w:tcBorders>
              <w:bottom w:val="single" w:sz="4" w:space="0" w:color="auto"/>
            </w:tcBorders>
            <w:vAlign w:val="center"/>
            <w:hideMark/>
          </w:tcPr>
          <w:p w14:paraId="26018A8F" w14:textId="77777777" w:rsidR="00A82A47" w:rsidRPr="00A82A47" w:rsidRDefault="00A82A47" w:rsidP="00A82A47">
            <w:pPr>
              <w:rPr>
                <w:rFonts w:eastAsia="Times New Roman"/>
              </w:rPr>
            </w:pPr>
            <w:r w:rsidRPr="00A82A47">
              <w:rPr>
                <w:rFonts w:eastAsia="Times New Roman"/>
              </w:rPr>
              <w:t>0.61</w:t>
            </w:r>
          </w:p>
        </w:tc>
        <w:tc>
          <w:tcPr>
            <w:tcW w:w="0" w:type="auto"/>
            <w:tcBorders>
              <w:bottom w:val="single" w:sz="4" w:space="0" w:color="auto"/>
            </w:tcBorders>
            <w:vAlign w:val="center"/>
            <w:hideMark/>
          </w:tcPr>
          <w:p w14:paraId="242D43F4" w14:textId="77777777" w:rsidR="00A82A47" w:rsidRPr="00A82A47" w:rsidRDefault="00A82A47" w:rsidP="00A82A47">
            <w:pPr>
              <w:rPr>
                <w:rFonts w:eastAsia="Times New Roman"/>
              </w:rPr>
            </w:pPr>
            <w:r w:rsidRPr="00A82A47">
              <w:rPr>
                <w:rFonts w:eastAsia="Times New Roman"/>
              </w:rPr>
              <w:t>0.39–0.95</w:t>
            </w:r>
          </w:p>
        </w:tc>
        <w:tc>
          <w:tcPr>
            <w:tcW w:w="0" w:type="auto"/>
            <w:tcBorders>
              <w:bottom w:val="single" w:sz="4" w:space="0" w:color="auto"/>
            </w:tcBorders>
            <w:vAlign w:val="center"/>
            <w:hideMark/>
          </w:tcPr>
          <w:p w14:paraId="77949D5C" w14:textId="77777777" w:rsidR="00A82A47" w:rsidRPr="00A82A47" w:rsidRDefault="00A82A47" w:rsidP="00A82A47">
            <w:pPr>
              <w:rPr>
                <w:rFonts w:eastAsia="Times New Roman"/>
              </w:rPr>
            </w:pPr>
            <w:r w:rsidRPr="00A82A47">
              <w:rPr>
                <w:rFonts w:eastAsia="Times New Roman"/>
              </w:rPr>
              <w:t>0.029</w:t>
            </w:r>
          </w:p>
        </w:tc>
      </w:tr>
    </w:tbl>
    <w:p w14:paraId="7D656EA1" w14:textId="77777777" w:rsidR="001A407D" w:rsidRDefault="001A407D" w:rsidP="001A407D">
      <w:pPr>
        <w:jc w:val="both"/>
        <w:outlineLvl w:val="1"/>
        <w:rPr>
          <w:rFonts w:eastAsia="Times New Roman"/>
        </w:rPr>
      </w:pPr>
    </w:p>
    <w:p w14:paraId="2DA9E626" w14:textId="16816752" w:rsidR="00A82A47" w:rsidRPr="001A407D" w:rsidRDefault="00A82A47" w:rsidP="001A407D">
      <w:pPr>
        <w:jc w:val="both"/>
        <w:outlineLvl w:val="1"/>
        <w:rPr>
          <w:rFonts w:eastAsia="Times New Roman"/>
          <w:i/>
          <w:iCs/>
        </w:rPr>
      </w:pPr>
      <w:r w:rsidRPr="001A407D">
        <w:rPr>
          <w:rFonts w:eastAsia="Times New Roman"/>
          <w:i/>
          <w:iCs/>
        </w:rPr>
        <w:t>Interpretation of the Logistic Regression Results</w:t>
      </w:r>
    </w:p>
    <w:p w14:paraId="2DD56C90" w14:textId="685BC428" w:rsidR="00A82A47" w:rsidRPr="00A82A47" w:rsidRDefault="00A82A47" w:rsidP="001A407D">
      <w:pPr>
        <w:ind w:firstLine="720"/>
        <w:jc w:val="both"/>
        <w:rPr>
          <w:rFonts w:eastAsia="Times New Roman"/>
        </w:rPr>
      </w:pPr>
      <w:r w:rsidRPr="00A82A47">
        <w:rPr>
          <w:rFonts w:eastAsia="Times New Roman"/>
        </w:rPr>
        <w:t>The illustrative regression model suggests that firewood use was associated with higher odds of respiratory symptoms (AOR = 3.42, 95% CI: 1.95–5.99, p &lt; 0.001), indicating that households relying on firewood had greater odds of reporting respiratory symptoms than households using cleaner fuels.</w:t>
      </w:r>
      <w:r w:rsidR="001A407D">
        <w:rPr>
          <w:rFonts w:eastAsia="Times New Roman"/>
          <w:lang w:val="en-US"/>
        </w:rPr>
        <w:t xml:space="preserve"> </w:t>
      </w:r>
      <w:r w:rsidRPr="00A82A47">
        <w:rPr>
          <w:rFonts w:eastAsia="Times New Roman"/>
        </w:rPr>
        <w:t>Households with inadequate kitchen ventilation also had higher odds of respiratory symptoms (AOR = 2.81, 95% CI: 1.74–4.53, p &lt; 0.001), highlighting the importance of adequate airflow in reducing indoor pollutant exposure.</w:t>
      </w:r>
      <w:r w:rsidR="001A407D">
        <w:rPr>
          <w:rFonts w:eastAsia="Times New Roman"/>
          <w:lang w:val="en-US"/>
        </w:rPr>
        <w:t xml:space="preserve"> </w:t>
      </w:r>
      <w:r w:rsidRPr="00A82A47">
        <w:rPr>
          <w:rFonts w:eastAsia="Times New Roman"/>
        </w:rPr>
        <w:t>Cooking in an indoor kitchen was associated with increased odds of respiratory symptoms (AOR = 2.36, 95% CI: 1.39–4.01, p = 0.002). Similarly, respondents who cooked for three or more hours per day had higher odds of respiratory symptoms (AOR = 1.89, 95% CI: 1.16–3.09, p = 0.011).</w:t>
      </w:r>
      <w:r w:rsidR="001A407D">
        <w:rPr>
          <w:rFonts w:eastAsia="Times New Roman"/>
          <w:lang w:val="en-US"/>
        </w:rPr>
        <w:t xml:space="preserve"> </w:t>
      </w:r>
      <w:r w:rsidRPr="00A82A47">
        <w:rPr>
          <w:rFonts w:eastAsia="Times New Roman"/>
        </w:rPr>
        <w:t>Educational attainment showed a protective association, with respondents who had at least secondary education having lower odds of respiratory symptoms (AOR = 0.61, 95% CI: 0.39–0.95, p = 0.029).</w:t>
      </w:r>
      <w:r w:rsidR="001A407D">
        <w:rPr>
          <w:rFonts w:eastAsia="Times New Roman"/>
          <w:lang w:val="en-US"/>
        </w:rPr>
        <w:t xml:space="preserve"> </w:t>
      </w:r>
      <w:r w:rsidRPr="00A82A47">
        <w:rPr>
          <w:rFonts w:eastAsia="Times New Roman"/>
        </w:rPr>
        <w:t>In this illustrative model, respondent sex and age were not statistically significant predictors because their p-values exceeded 0.05.</w:t>
      </w:r>
    </w:p>
    <w:p w14:paraId="7D475FBD" w14:textId="77777777" w:rsidR="001A407D" w:rsidRDefault="001A407D" w:rsidP="001A407D">
      <w:pPr>
        <w:ind w:firstLine="720"/>
        <w:jc w:val="center"/>
        <w:outlineLvl w:val="0"/>
        <w:rPr>
          <w:rFonts w:eastAsia="Times New Roman"/>
          <w:kern w:val="36"/>
        </w:rPr>
      </w:pPr>
    </w:p>
    <w:p w14:paraId="6FB2903A" w14:textId="6010BD9F" w:rsidR="00A82A47" w:rsidRPr="00A82A47" w:rsidRDefault="00A82A47" w:rsidP="001A407D">
      <w:pPr>
        <w:ind w:firstLine="720"/>
        <w:jc w:val="center"/>
        <w:outlineLvl w:val="0"/>
        <w:rPr>
          <w:rFonts w:eastAsia="Times New Roman"/>
          <w:kern w:val="36"/>
        </w:rPr>
      </w:pPr>
      <w:r w:rsidRPr="00A82A47">
        <w:rPr>
          <w:rFonts w:eastAsia="Times New Roman"/>
          <w:kern w:val="36"/>
        </w:rPr>
        <w:t>Table 20</w:t>
      </w:r>
      <w:r w:rsidR="001A407D">
        <w:rPr>
          <w:rFonts w:eastAsia="Times New Roman"/>
          <w:kern w:val="36"/>
          <w:lang w:val="en-US"/>
        </w:rPr>
        <w:t>.</w:t>
      </w:r>
      <w:r w:rsidRPr="00A82A47">
        <w:rPr>
          <w:rFonts w:eastAsia="Times New Roman"/>
          <w:kern w:val="36"/>
        </w:rPr>
        <w:t xml:space="preserve"> Summary of Hypothesis Testing (Illustrative)</w:t>
      </w:r>
    </w:p>
    <w:tbl>
      <w:tblPr>
        <w:tblW w:w="0" w:type="auto"/>
        <w:tblCellSpacing w:w="15" w:type="dxa"/>
        <w:tblBorders>
          <w:insideH w:val="single" w:sz="4" w:space="0" w:color="auto"/>
        </w:tblBorders>
        <w:tblCellMar>
          <w:top w:w="15" w:type="dxa"/>
          <w:left w:w="15" w:type="dxa"/>
          <w:bottom w:w="15" w:type="dxa"/>
          <w:right w:w="15" w:type="dxa"/>
        </w:tblCellMar>
        <w:tblLook w:val="04A0" w:firstRow="1" w:lastRow="0" w:firstColumn="1" w:lastColumn="0" w:noHBand="0" w:noVBand="1"/>
      </w:tblPr>
      <w:tblGrid>
        <w:gridCol w:w="4218"/>
        <w:gridCol w:w="1964"/>
        <w:gridCol w:w="1478"/>
        <w:gridCol w:w="1682"/>
      </w:tblGrid>
      <w:tr w:rsidR="00A82A47" w:rsidRPr="00A82A47" w14:paraId="2432480B" w14:textId="77777777" w:rsidTr="001A407D">
        <w:trPr>
          <w:tblHeader/>
          <w:tblCellSpacing w:w="15" w:type="dxa"/>
        </w:trPr>
        <w:tc>
          <w:tcPr>
            <w:tcW w:w="0" w:type="auto"/>
            <w:vAlign w:val="center"/>
            <w:hideMark/>
          </w:tcPr>
          <w:p w14:paraId="3053EF97" w14:textId="77777777" w:rsidR="00A82A47" w:rsidRPr="00A82A47" w:rsidRDefault="00A82A47" w:rsidP="001A407D">
            <w:pPr>
              <w:ind w:firstLine="720"/>
              <w:jc w:val="center"/>
              <w:rPr>
                <w:rFonts w:eastAsia="Times New Roman"/>
              </w:rPr>
            </w:pPr>
            <w:r w:rsidRPr="00A82A47">
              <w:rPr>
                <w:rFonts w:eastAsia="Times New Roman"/>
              </w:rPr>
              <w:t>Hypothesis</w:t>
            </w:r>
          </w:p>
        </w:tc>
        <w:tc>
          <w:tcPr>
            <w:tcW w:w="0" w:type="auto"/>
            <w:vAlign w:val="center"/>
            <w:hideMark/>
          </w:tcPr>
          <w:p w14:paraId="1F1B4AB3" w14:textId="77777777" w:rsidR="00A82A47" w:rsidRPr="00A82A47" w:rsidRDefault="00A82A47" w:rsidP="001A407D">
            <w:pPr>
              <w:ind w:firstLine="720"/>
              <w:jc w:val="center"/>
              <w:rPr>
                <w:rFonts w:eastAsia="Times New Roman"/>
              </w:rPr>
            </w:pPr>
            <w:r w:rsidRPr="00A82A47">
              <w:rPr>
                <w:rFonts w:eastAsia="Times New Roman"/>
              </w:rPr>
              <w:t>Statistical Test</w:t>
            </w:r>
          </w:p>
        </w:tc>
        <w:tc>
          <w:tcPr>
            <w:tcW w:w="0" w:type="auto"/>
            <w:vAlign w:val="center"/>
            <w:hideMark/>
          </w:tcPr>
          <w:p w14:paraId="750D7C82" w14:textId="77777777" w:rsidR="00A82A47" w:rsidRPr="00A82A47" w:rsidRDefault="00A82A47" w:rsidP="001A407D">
            <w:pPr>
              <w:ind w:firstLine="720"/>
              <w:jc w:val="center"/>
              <w:rPr>
                <w:rFonts w:eastAsia="Times New Roman"/>
              </w:rPr>
            </w:pPr>
            <w:r w:rsidRPr="00A82A47">
              <w:rPr>
                <w:rFonts w:eastAsia="Times New Roman"/>
              </w:rPr>
              <w:t>p-value</w:t>
            </w:r>
          </w:p>
        </w:tc>
        <w:tc>
          <w:tcPr>
            <w:tcW w:w="0" w:type="auto"/>
            <w:vAlign w:val="center"/>
            <w:hideMark/>
          </w:tcPr>
          <w:p w14:paraId="216E6C02" w14:textId="77777777" w:rsidR="00A82A47" w:rsidRPr="00A82A47" w:rsidRDefault="00A82A47" w:rsidP="001A407D">
            <w:pPr>
              <w:ind w:firstLine="720"/>
              <w:jc w:val="center"/>
              <w:rPr>
                <w:rFonts w:eastAsia="Times New Roman"/>
              </w:rPr>
            </w:pPr>
            <w:r w:rsidRPr="00A82A47">
              <w:rPr>
                <w:rFonts w:eastAsia="Times New Roman"/>
              </w:rPr>
              <w:t>Decision</w:t>
            </w:r>
          </w:p>
        </w:tc>
      </w:tr>
      <w:tr w:rsidR="00A82A47" w:rsidRPr="00A82A47" w14:paraId="12892C5E" w14:textId="77777777" w:rsidTr="001A407D">
        <w:trPr>
          <w:tblCellSpacing w:w="15" w:type="dxa"/>
        </w:trPr>
        <w:tc>
          <w:tcPr>
            <w:tcW w:w="0" w:type="auto"/>
            <w:vAlign w:val="center"/>
            <w:hideMark/>
          </w:tcPr>
          <w:p w14:paraId="38029421" w14:textId="77777777" w:rsidR="00A82A47" w:rsidRPr="00A82A47" w:rsidRDefault="00A82A47" w:rsidP="001A407D">
            <w:pPr>
              <w:ind w:firstLine="720"/>
              <w:rPr>
                <w:rFonts w:eastAsia="Times New Roman"/>
              </w:rPr>
            </w:pPr>
            <w:r w:rsidRPr="00A82A47">
              <w:rPr>
                <w:rFonts w:eastAsia="Times New Roman"/>
              </w:rPr>
              <w:t>Biomass fuel use is associated with respiratory symptoms</w:t>
            </w:r>
          </w:p>
        </w:tc>
        <w:tc>
          <w:tcPr>
            <w:tcW w:w="0" w:type="auto"/>
            <w:vAlign w:val="center"/>
            <w:hideMark/>
          </w:tcPr>
          <w:p w14:paraId="55F9906D" w14:textId="77777777" w:rsidR="00A82A47" w:rsidRPr="00A82A47" w:rsidRDefault="00A82A47" w:rsidP="001A407D">
            <w:pPr>
              <w:ind w:firstLine="720"/>
              <w:rPr>
                <w:rFonts w:eastAsia="Times New Roman"/>
              </w:rPr>
            </w:pPr>
            <w:r w:rsidRPr="00A82A47">
              <w:rPr>
                <w:rFonts w:eastAsia="Times New Roman"/>
              </w:rPr>
              <w:t>Chi-square</w:t>
            </w:r>
          </w:p>
        </w:tc>
        <w:tc>
          <w:tcPr>
            <w:tcW w:w="0" w:type="auto"/>
            <w:vAlign w:val="center"/>
            <w:hideMark/>
          </w:tcPr>
          <w:p w14:paraId="622688A7" w14:textId="77777777" w:rsidR="00A82A47" w:rsidRPr="00A82A47" w:rsidRDefault="00A82A47" w:rsidP="001A407D">
            <w:pPr>
              <w:ind w:firstLine="720"/>
              <w:rPr>
                <w:rFonts w:eastAsia="Times New Roman"/>
              </w:rPr>
            </w:pPr>
            <w:r w:rsidRPr="00A82A47">
              <w:rPr>
                <w:rFonts w:eastAsia="Times New Roman"/>
              </w:rPr>
              <w:t>&lt;0.001</w:t>
            </w:r>
          </w:p>
        </w:tc>
        <w:tc>
          <w:tcPr>
            <w:tcW w:w="0" w:type="auto"/>
            <w:vAlign w:val="center"/>
            <w:hideMark/>
          </w:tcPr>
          <w:p w14:paraId="7B554D73" w14:textId="77777777" w:rsidR="00A82A47" w:rsidRPr="00A82A47" w:rsidRDefault="00A82A47" w:rsidP="001A407D">
            <w:pPr>
              <w:ind w:firstLine="720"/>
              <w:rPr>
                <w:rFonts w:eastAsia="Times New Roman"/>
              </w:rPr>
            </w:pPr>
            <w:r w:rsidRPr="00A82A47">
              <w:rPr>
                <w:rFonts w:eastAsia="Times New Roman"/>
              </w:rPr>
              <w:t>Reject H₀</w:t>
            </w:r>
          </w:p>
        </w:tc>
      </w:tr>
      <w:tr w:rsidR="00A82A47" w:rsidRPr="00A82A47" w14:paraId="00F44724" w14:textId="77777777" w:rsidTr="001A407D">
        <w:trPr>
          <w:tblCellSpacing w:w="15" w:type="dxa"/>
        </w:trPr>
        <w:tc>
          <w:tcPr>
            <w:tcW w:w="0" w:type="auto"/>
            <w:vAlign w:val="center"/>
            <w:hideMark/>
          </w:tcPr>
          <w:p w14:paraId="3377C1BB" w14:textId="77777777" w:rsidR="00A82A47" w:rsidRPr="00A82A47" w:rsidRDefault="00A82A47" w:rsidP="001A407D">
            <w:pPr>
              <w:ind w:firstLine="720"/>
              <w:rPr>
                <w:rFonts w:eastAsia="Times New Roman"/>
              </w:rPr>
            </w:pPr>
            <w:r w:rsidRPr="00A82A47">
              <w:rPr>
                <w:rFonts w:eastAsia="Times New Roman"/>
              </w:rPr>
              <w:t>Kitchen ventilation is associated with respiratory symptoms</w:t>
            </w:r>
          </w:p>
        </w:tc>
        <w:tc>
          <w:tcPr>
            <w:tcW w:w="0" w:type="auto"/>
            <w:vAlign w:val="center"/>
            <w:hideMark/>
          </w:tcPr>
          <w:p w14:paraId="144FE386" w14:textId="77777777" w:rsidR="00A82A47" w:rsidRPr="00A82A47" w:rsidRDefault="00A82A47" w:rsidP="001A407D">
            <w:pPr>
              <w:ind w:firstLine="720"/>
              <w:rPr>
                <w:rFonts w:eastAsia="Times New Roman"/>
              </w:rPr>
            </w:pPr>
            <w:r w:rsidRPr="00A82A47">
              <w:rPr>
                <w:rFonts w:eastAsia="Times New Roman"/>
              </w:rPr>
              <w:t>Chi-square</w:t>
            </w:r>
          </w:p>
        </w:tc>
        <w:tc>
          <w:tcPr>
            <w:tcW w:w="0" w:type="auto"/>
            <w:vAlign w:val="center"/>
            <w:hideMark/>
          </w:tcPr>
          <w:p w14:paraId="57D8552F" w14:textId="77777777" w:rsidR="00A82A47" w:rsidRPr="00A82A47" w:rsidRDefault="00A82A47" w:rsidP="001A407D">
            <w:pPr>
              <w:ind w:firstLine="720"/>
              <w:rPr>
                <w:rFonts w:eastAsia="Times New Roman"/>
              </w:rPr>
            </w:pPr>
            <w:r w:rsidRPr="00A82A47">
              <w:rPr>
                <w:rFonts w:eastAsia="Times New Roman"/>
              </w:rPr>
              <w:t>&lt;0.001</w:t>
            </w:r>
          </w:p>
        </w:tc>
        <w:tc>
          <w:tcPr>
            <w:tcW w:w="0" w:type="auto"/>
            <w:vAlign w:val="center"/>
            <w:hideMark/>
          </w:tcPr>
          <w:p w14:paraId="2148CD2F" w14:textId="77777777" w:rsidR="00A82A47" w:rsidRPr="00A82A47" w:rsidRDefault="00A82A47" w:rsidP="001A407D">
            <w:pPr>
              <w:ind w:firstLine="720"/>
              <w:rPr>
                <w:rFonts w:eastAsia="Times New Roman"/>
              </w:rPr>
            </w:pPr>
            <w:r w:rsidRPr="00A82A47">
              <w:rPr>
                <w:rFonts w:eastAsia="Times New Roman"/>
              </w:rPr>
              <w:t>Reject H₀</w:t>
            </w:r>
          </w:p>
        </w:tc>
      </w:tr>
      <w:tr w:rsidR="00A82A47" w:rsidRPr="00A82A47" w14:paraId="62409459" w14:textId="77777777" w:rsidTr="001A407D">
        <w:trPr>
          <w:tblCellSpacing w:w="15" w:type="dxa"/>
        </w:trPr>
        <w:tc>
          <w:tcPr>
            <w:tcW w:w="0" w:type="auto"/>
            <w:vAlign w:val="center"/>
            <w:hideMark/>
          </w:tcPr>
          <w:p w14:paraId="3659D2FF" w14:textId="77777777" w:rsidR="00A82A47" w:rsidRPr="00A82A47" w:rsidRDefault="00A82A47" w:rsidP="001A407D">
            <w:pPr>
              <w:ind w:firstLine="720"/>
              <w:rPr>
                <w:rFonts w:eastAsia="Times New Roman"/>
              </w:rPr>
            </w:pPr>
            <w:r w:rsidRPr="00A82A47">
              <w:rPr>
                <w:rFonts w:eastAsia="Times New Roman"/>
              </w:rPr>
              <w:t>Cooking location is associated with respiratory illness</w:t>
            </w:r>
          </w:p>
        </w:tc>
        <w:tc>
          <w:tcPr>
            <w:tcW w:w="0" w:type="auto"/>
            <w:vAlign w:val="center"/>
            <w:hideMark/>
          </w:tcPr>
          <w:p w14:paraId="2F004CD7" w14:textId="77777777" w:rsidR="00A82A47" w:rsidRPr="00A82A47" w:rsidRDefault="00A82A47" w:rsidP="001A407D">
            <w:pPr>
              <w:ind w:firstLine="720"/>
              <w:rPr>
                <w:rFonts w:eastAsia="Times New Roman"/>
              </w:rPr>
            </w:pPr>
            <w:r w:rsidRPr="00A82A47">
              <w:rPr>
                <w:rFonts w:eastAsia="Times New Roman"/>
              </w:rPr>
              <w:t>Chi-square</w:t>
            </w:r>
          </w:p>
        </w:tc>
        <w:tc>
          <w:tcPr>
            <w:tcW w:w="0" w:type="auto"/>
            <w:vAlign w:val="center"/>
            <w:hideMark/>
          </w:tcPr>
          <w:p w14:paraId="3990AEFF" w14:textId="77777777" w:rsidR="00A82A47" w:rsidRPr="00A82A47" w:rsidRDefault="00A82A47" w:rsidP="001A407D">
            <w:pPr>
              <w:ind w:firstLine="720"/>
              <w:rPr>
                <w:rFonts w:eastAsia="Times New Roman"/>
              </w:rPr>
            </w:pPr>
            <w:r w:rsidRPr="00A82A47">
              <w:rPr>
                <w:rFonts w:eastAsia="Times New Roman"/>
              </w:rPr>
              <w:t>&lt;0.001</w:t>
            </w:r>
          </w:p>
        </w:tc>
        <w:tc>
          <w:tcPr>
            <w:tcW w:w="0" w:type="auto"/>
            <w:vAlign w:val="center"/>
            <w:hideMark/>
          </w:tcPr>
          <w:p w14:paraId="7E962CC6" w14:textId="77777777" w:rsidR="00A82A47" w:rsidRPr="00A82A47" w:rsidRDefault="00A82A47" w:rsidP="001A407D">
            <w:pPr>
              <w:ind w:firstLine="720"/>
              <w:rPr>
                <w:rFonts w:eastAsia="Times New Roman"/>
              </w:rPr>
            </w:pPr>
            <w:r w:rsidRPr="00A82A47">
              <w:rPr>
                <w:rFonts w:eastAsia="Times New Roman"/>
              </w:rPr>
              <w:t>Reject H₀</w:t>
            </w:r>
          </w:p>
        </w:tc>
      </w:tr>
    </w:tbl>
    <w:p w14:paraId="260268C0" w14:textId="77777777" w:rsidR="001A407D" w:rsidRDefault="001A407D" w:rsidP="001A407D">
      <w:pPr>
        <w:outlineLvl w:val="0"/>
        <w:rPr>
          <w:rFonts w:eastAsia="Times New Roman"/>
          <w:kern w:val="36"/>
        </w:rPr>
      </w:pPr>
    </w:p>
    <w:p w14:paraId="6288143D" w14:textId="423C7FDF" w:rsidR="00A82A47" w:rsidRPr="001A407D" w:rsidRDefault="00A82A47" w:rsidP="001A407D">
      <w:pPr>
        <w:outlineLvl w:val="0"/>
        <w:rPr>
          <w:rFonts w:eastAsia="Times New Roman"/>
          <w:i/>
          <w:iCs/>
          <w:kern w:val="36"/>
        </w:rPr>
      </w:pPr>
      <w:r w:rsidRPr="001A407D">
        <w:rPr>
          <w:rFonts w:eastAsia="Times New Roman"/>
          <w:i/>
          <w:iCs/>
          <w:kern w:val="36"/>
        </w:rPr>
        <w:t>General Interpretation (Illustrative)</w:t>
      </w:r>
    </w:p>
    <w:p w14:paraId="197D564F" w14:textId="77777777" w:rsidR="00A82A47" w:rsidRPr="00A82A47" w:rsidRDefault="00A82A47" w:rsidP="001A407D">
      <w:pPr>
        <w:ind w:firstLine="720"/>
        <w:jc w:val="both"/>
        <w:rPr>
          <w:rFonts w:eastAsia="Times New Roman"/>
        </w:rPr>
      </w:pPr>
      <w:r w:rsidRPr="00A82A47">
        <w:rPr>
          <w:rFonts w:eastAsia="Times New Roman"/>
        </w:rPr>
        <w:t xml:space="preserve">These illustrative analyses suggest that greater exposure to biomass smoke, particularly through firewood use, poor kitchen ventilation, indoor cooking, and longer cooking duration, is </w:t>
      </w:r>
      <w:r w:rsidRPr="00A82A47">
        <w:rPr>
          <w:rFonts w:eastAsia="Times New Roman"/>
        </w:rPr>
        <w:lastRenderedPageBreak/>
        <w:t>associated with higher odds of respiratory symptoms among rural households. Such findings are consistent with the broader literature showing that household air pollution from biomass combustion is an important environmental health risk. When you have your actual questionnaire data, these analyses should be rerun in statistical software (such as SPSS, Stata, R, or SAS), and the reported chi-square values, odds ratios, confidence intervals, and p-values should reflect the observed data rather than these illustrative examples</w:t>
      </w:r>
    </w:p>
    <w:p w14:paraId="5D56FFB9" w14:textId="77777777" w:rsidR="001A407D" w:rsidRDefault="001A407D" w:rsidP="001A407D">
      <w:pPr>
        <w:jc w:val="both"/>
        <w:rPr>
          <w:rFonts w:eastAsia="Times New Roman"/>
        </w:rPr>
      </w:pPr>
    </w:p>
    <w:p w14:paraId="7864C89F" w14:textId="45796651" w:rsidR="00A82A47" w:rsidRDefault="00A82A47" w:rsidP="001A407D">
      <w:pPr>
        <w:jc w:val="both"/>
        <w:rPr>
          <w:rFonts w:eastAsia="Times New Roman"/>
          <w:b/>
          <w:bCs/>
        </w:rPr>
      </w:pPr>
      <w:r w:rsidRPr="00524E03">
        <w:rPr>
          <w:rFonts w:eastAsia="Times New Roman"/>
          <w:b/>
          <w:bCs/>
        </w:rPr>
        <w:t>Discussion</w:t>
      </w:r>
    </w:p>
    <w:p w14:paraId="7AB98517" w14:textId="77777777" w:rsidR="00524E03" w:rsidRPr="00524E03" w:rsidRDefault="00524E03" w:rsidP="001A407D">
      <w:pPr>
        <w:jc w:val="both"/>
        <w:rPr>
          <w:rFonts w:eastAsia="Times New Roman"/>
          <w:b/>
          <w:bCs/>
        </w:rPr>
      </w:pPr>
    </w:p>
    <w:p w14:paraId="4D71773E" w14:textId="77777777" w:rsidR="00A82A47" w:rsidRPr="00A82A47" w:rsidRDefault="00A82A47" w:rsidP="001A407D">
      <w:pPr>
        <w:ind w:firstLine="720"/>
        <w:jc w:val="both"/>
        <w:rPr>
          <w:rFonts w:eastAsia="Times New Roman"/>
        </w:rPr>
      </w:pPr>
      <w:r w:rsidRPr="00A82A47">
        <w:rPr>
          <w:rFonts w:eastAsia="Times New Roman"/>
        </w:rPr>
        <w:t>This study assessed indoor air pollution resulting from biomass fuel use and its association with respiratory health among rural households in Toro Local Government Area of Bauchi State. The findings indicate that biomass fuels, particularly firewood, remain the dominant household cooking energy source. The study also suggests that households using biomass fuels and cooking in poorly ventilated kitchens experience a higher burden of respiratory symptoms.</w:t>
      </w:r>
    </w:p>
    <w:p w14:paraId="47DDE61A" w14:textId="77777777" w:rsidR="001A407D" w:rsidRDefault="001A407D" w:rsidP="001A407D">
      <w:pPr>
        <w:outlineLvl w:val="1"/>
        <w:rPr>
          <w:rFonts w:eastAsia="Times New Roman"/>
        </w:rPr>
      </w:pPr>
    </w:p>
    <w:p w14:paraId="14F86C8E" w14:textId="6D9D554A" w:rsidR="00A82A47" w:rsidRPr="001A407D" w:rsidRDefault="00A82A47" w:rsidP="001A407D">
      <w:pPr>
        <w:outlineLvl w:val="1"/>
        <w:rPr>
          <w:rFonts w:eastAsia="Times New Roman"/>
          <w:i/>
          <w:iCs/>
        </w:rPr>
      </w:pPr>
      <w:r w:rsidRPr="001A407D">
        <w:rPr>
          <w:rFonts w:eastAsia="Times New Roman"/>
          <w:i/>
          <w:iCs/>
        </w:rPr>
        <w:t>Household Use of Biomass Fuels</w:t>
      </w:r>
    </w:p>
    <w:p w14:paraId="19692DB3" w14:textId="5B0EE91C" w:rsidR="00A82A47" w:rsidRPr="00A82A47" w:rsidRDefault="00A82A47" w:rsidP="001A407D">
      <w:pPr>
        <w:ind w:firstLine="720"/>
        <w:jc w:val="both"/>
        <w:rPr>
          <w:rFonts w:eastAsia="Times New Roman"/>
        </w:rPr>
      </w:pPr>
      <w:r w:rsidRPr="00A82A47">
        <w:rPr>
          <w:rFonts w:eastAsia="Times New Roman"/>
        </w:rPr>
        <w:t xml:space="preserve">The study found that approximately three-quarters of the respondents relied primarily on firewood for cooking. This finding reflects the continued dependence on traditional biomass fuels in many rural communities due to poverty, limited access to clean energy, unreliable electricity supply, and the relatively high cost of liquefied petroleum gas (LPG). This finding is consistent with the Nigeria Demographic and Health Survey (2018), which reported that solid fuels remain the principal source of cooking energy among rural Nigerian households (National Population Commission [NPC] &amp; ICF, 2019). Similarly, the International Energy Agency (2023) reported that biomass continues to be the predominant cooking fuel for millions of households across sub-Saharan Africa because of affordability and accessibility. Comparable findings have been reported by </w:t>
      </w:r>
      <w:r w:rsidR="00E5773D">
        <w:rPr>
          <w:rFonts w:eastAsia="Times New Roman"/>
        </w:rPr>
        <w:fldChar w:fldCharType="begin"/>
      </w:r>
      <w:r w:rsidR="00E6458E">
        <w:rPr>
          <w:rFonts w:eastAsia="Times New Roman"/>
        </w:rPr>
        <w:instrText xml:space="preserve"> ADDIN ZOTERO_ITEM CSL_CITATION {"citationID":"eMh0aGqf","properties":{"unsorted":false,"formattedCitation":"(Osano et al., 2020)","plainCitation":"(Osano et al., 2020)","noteIndex":0},"citationItems":[{"id":14922,"uris":["http://zotero.org/users/local/vwAKDnao/items/JARJD89E"],"itemData":{"id":14922,"type":"article-journal","container-title":"Sustainable Cities and Society","DOI":"10.1016/j.scs.2020.102039","ISSN":"22106707","journalAbbreviation":"Sustainable Cities and Society","language":"en","page":"102039","source":"DOI.org (Crossref)","title":"Insights into household fuel use in Kenyan communities","URL":"https://linkinghub.elsevier.com/retrieve/pii/S2210670720300263","volume":"55","author":[{"family":"Osano","given":"A"},{"family":"Maghanga","given":"J"},{"family":"Munyeza","given":"C.F"},{"family":"Chaka","given":"B"},{"family":"Olal","given":"W"},{"family":"Forbes","given":"P.B.C"}],"accessed":{"date-parts":[["2026",8,30]]},"issued":{"date-parts":[["2020",4]]}}}],"schema":"https://github.com/citation-style-language/schema/raw/master/csl-citation.json"} </w:instrText>
      </w:r>
      <w:r w:rsidR="00E5773D">
        <w:rPr>
          <w:rFonts w:eastAsia="Times New Roman"/>
        </w:rPr>
        <w:fldChar w:fldCharType="separate"/>
      </w:r>
      <w:r w:rsidR="00E6458E" w:rsidRPr="00E6458E">
        <w:t>(Osano et al., 2020)</w:t>
      </w:r>
      <w:r w:rsidR="00E5773D">
        <w:rPr>
          <w:rFonts w:eastAsia="Times New Roman"/>
        </w:rPr>
        <w:fldChar w:fldCharType="end"/>
      </w:r>
      <w:r w:rsidRPr="00A82A47">
        <w:rPr>
          <w:rFonts w:eastAsia="Times New Roman"/>
        </w:rPr>
        <w:t>, who estimated that nearly three billion people worldwide continue to depend on solid fuels for cooking, with the greatest burden occurring in low-income rural populations.</w:t>
      </w:r>
    </w:p>
    <w:p w14:paraId="47AE2E42" w14:textId="77777777" w:rsidR="001A407D" w:rsidRDefault="001A407D" w:rsidP="001A407D">
      <w:pPr>
        <w:outlineLvl w:val="1"/>
        <w:rPr>
          <w:rFonts w:eastAsia="Times New Roman"/>
        </w:rPr>
      </w:pPr>
    </w:p>
    <w:p w14:paraId="730AE2A6" w14:textId="26D154C7" w:rsidR="00A82A47" w:rsidRPr="001A407D" w:rsidRDefault="00A82A47" w:rsidP="001A407D">
      <w:pPr>
        <w:outlineLvl w:val="1"/>
        <w:rPr>
          <w:rFonts w:eastAsia="Times New Roman"/>
          <w:i/>
          <w:iCs/>
        </w:rPr>
      </w:pPr>
      <w:r w:rsidRPr="001A407D">
        <w:rPr>
          <w:rFonts w:eastAsia="Times New Roman"/>
          <w:i/>
          <w:iCs/>
        </w:rPr>
        <w:t>Kitchen Ventilation and Indoor Air Pollution</w:t>
      </w:r>
    </w:p>
    <w:p w14:paraId="03A5E41C" w14:textId="206D29B6" w:rsidR="00A82A47" w:rsidRPr="00E5773D" w:rsidRDefault="00A82A47" w:rsidP="001A407D">
      <w:pPr>
        <w:ind w:firstLine="720"/>
        <w:jc w:val="both"/>
        <w:rPr>
          <w:rFonts w:eastAsia="Times New Roman"/>
          <w:lang w:val="en-US"/>
        </w:rPr>
      </w:pPr>
      <w:r w:rsidRPr="00A82A47">
        <w:rPr>
          <w:rFonts w:eastAsia="Times New Roman"/>
        </w:rPr>
        <w:t>The study indicated that a large proportion of respondents cooked in kitchens with inadequate ventilation. Poor ventilation allows smoke to accumulate indoors, increasing household exposure to harmful pollutants such as particulate matter (PM₂.₅) and carbon monoxide. This finding agrees with World Health Organization (2023) reports, which emphasize that poor household ventilation significantly increases exposure to indoor air pollution and contributes to respiratory diseases. Likewise</w:t>
      </w:r>
      <w:r w:rsidR="00E5773D">
        <w:rPr>
          <w:rFonts w:eastAsia="Times New Roman"/>
        </w:rPr>
        <w:fldChar w:fldCharType="begin"/>
      </w:r>
      <w:r w:rsidR="00E6458E">
        <w:rPr>
          <w:rFonts w:eastAsia="Times New Roman"/>
        </w:rPr>
        <w:instrText xml:space="preserve"> ADDIN ZOTERO_ITEM CSL_CITATION {"citationID":"hZsfjghe","properties":{"unsorted":false,"formattedCitation":"(Muteti-Fana et al., 2023)","plainCitation":"(Muteti-Fana et al., 2023)","noteIndex":0},"citationItems":[{"id":14921,"uris":["http://zotero.org/users/local/vwAKDnao/items/XIIDNMDC"],"itemData":{"id":14921,"type":"article-journal","abstract":"Household air pollution (HAP) from biomass fuels significantly contributes to cardio-respiratory morbidity and premature mortality globally. Particulate matter (PM), one of the pollutants generated, remains the most accurate indicator of household air pollution. Determining indoor air concentration levels and factors influencing these levels at the household level is of prime importance, as it objectively guides efforts to reduce household air pollution. This paper describes household factors associated with increased PM2.5 levels in Zimbabwean rural household kitchens. Our HAP and lung health in women study enrolled 790 women in rural and urban households in Zimbabwe between March 2018 and December 2019. Here, we report data from 148 rural households using solid fuel as the primary source of fuel for cooking and heating and where indoor air samples were collected. Data on kitchen characteristics and practices were collected cross-sectionally using an indoor walk-through survey and a modified interviewer-administered questionnaire. An Air metrics miniVol Sampler was utilized to collect PM2.5 samples from the 148 kitchens over a 24 h period. To identify the kitchen features and practices that would likely influence PM2.5 concentration levels, we applied a multiple linear regression model. The measured PM2.5 ranged from 1.35 μg/m3 to 1940 μg/m3 (IQR: 52.1–472). The PM2.5 concentration levels in traditional kitchens significantly varied from the townhouse type kitchens, with the median for each kitchen being 291.7 μg/m3 (IQR: 97.2–472.2) and 1.35 μg/m3 (IQR: 1.3–97.2), respectively. The use of wood mixed with other forms of biomass was found to have a statistically significant association (p &lt; 0.001) with increased levels of PM2.5 concentration. In addition, cooking indoors was strongly associated with higher PM2.5 concentrations (p = 0.012). Presence of smoke deposits on walls and roofs of the kitchens was significantly associated with increased PM2.5 concentration levels (p = 0.044). The study found that kitchen type, energy type, cooking place, and smoke deposits were significant predictors of increased PM2.5 concentrations in the rural households. Concentrations of PM2.5 were high as compared to WHO recommended exposure limits for PM2.5. Our findings highlight the importance of addressing kitchen characteristics and practices associated with elevated PM2.5 concentrations in settings where resources are limited and switching to cleaner fuels may not be an immediate feasible option.","container-title":"International Journal of Environmental Research and Public Health","DOI":"10.3390/ijerph20105811","ISSN":"1660-4601","issue":"10","journalAbbreviation":"IJERPH","language":"en","page":"5811","source":"DOI.org (Crossref)","title":"Kitchen Characteristics and Practices Associated with Increased PM2.5 Concentration Levels in Zimbabwean Rural Households","URL":"https://www.mdpi.com/1660-4601/20/10/5811","volume":"20","author":[{"family":"Muteti-Fana","given":"Shamiso"},{"family":"Nkosana","given":"Jafta"},{"family":"Naidoo","given":"Rajen N."}],"accessed":{"date-parts":[["2026",8,30]]},"issued":{"date-parts":[["2023",5,12]]}}}],"schema":"https://github.com/citation-style-language/schema/raw/master/csl-citation.json"} </w:instrText>
      </w:r>
      <w:r w:rsidR="00E5773D">
        <w:rPr>
          <w:rFonts w:eastAsia="Times New Roman"/>
        </w:rPr>
        <w:fldChar w:fldCharType="separate"/>
      </w:r>
      <w:r w:rsidR="00E6458E" w:rsidRPr="00E6458E">
        <w:t>(Muteti-Fana et al., 2023)</w:t>
      </w:r>
      <w:r w:rsidR="00E5773D">
        <w:rPr>
          <w:rFonts w:eastAsia="Times New Roman"/>
        </w:rPr>
        <w:fldChar w:fldCharType="end"/>
      </w:r>
      <w:r w:rsidR="00E5773D">
        <w:rPr>
          <w:rFonts w:eastAsia="Times New Roman"/>
          <w:lang w:val="en-US"/>
        </w:rPr>
        <w:t xml:space="preserve"> </w:t>
      </w:r>
      <w:r w:rsidRPr="00A82A47">
        <w:rPr>
          <w:rFonts w:eastAsia="Times New Roman"/>
        </w:rPr>
        <w:t xml:space="preserve">observed that traditional kitchens lacking windows or chimneys often experience pollutant concentrations several times higher than recommended international air quality guidelines. The observed pattern is also consistent with studies conducted in rural Ethiopia, Kenya, and Ghana, where inadequate kitchen ventilation was identified as a major determinant of household smoke exposure </w:t>
      </w:r>
      <w:r w:rsidR="00E5773D">
        <w:rPr>
          <w:rFonts w:eastAsia="Times New Roman"/>
        </w:rPr>
        <w:fldChar w:fldCharType="begin"/>
      </w:r>
      <w:r w:rsidR="00E6458E">
        <w:rPr>
          <w:rFonts w:eastAsia="Times New Roman"/>
        </w:rPr>
        <w:instrText xml:space="preserve"> ADDIN ZOTERO_ITEM CSL_CITATION {"citationID":"HXI6htLU","properties":{"unsorted":false,"formattedCitation":"(Williams et al., 2025)","plainCitation":"(Williams et al., 2025)","noteIndex":0},"citationItems":[{"id":14917,"uris":["http://zotero.org/users/local/vwAKDnao/items/3M6NGGLK"],"itemData":{"id":14917,"type":"article-journal","abstract":"Abstract\n            \n              In sub-Saharan Africa, approximately 85% of the population uses polluting cooking fuels (e.g. wood, charcoal). Incomplete combustion of these fuels generates household air pollution (HAP), containing fine particulate matter (PM\n              2.5\n              ) and carbon monoxide (CO). Due to large spatial variability, increased quantification of HAP levels is needed to improve exposure assessment in sub-Saharan Africa. The CLEAN-Air(Africa) study included 24-h monitoring of PM\n              2.5\n              and CO kitchen concentrations (n\n              pm2.5\n               = 248/n\n              CO\n               = 207) and female primary cook exposures (n\n              pm2.5\n               = 245/n\n              CO\n               = 222) in peri-urban households in Obuasi (Ghana), Mbalmayo (Cameroon) and Eldoret (Kenya). HAP measurements were combined with survey data on cooking patterns, socioeconomic characteristics and ambient exposure proxies (e.g. walking time to nearest road) in separate PM\n              2.5\n              and CO mixed-effect log-linear regression models. Model coefficients were applied to a larger study population (n = 937) with only survey data to quantitatively scale up PM\n              2.5\n              and CO exposures. The final models moderately explained variation in mean 24-h PM\n              2.5\n              (R\n              2\n               = 0.40) and CO (R\n              2\n               = 0.26) kitchen concentration measurements, and PM\n              2.5\n              (R\n              2\n               = 0.27) and CO (R\n              2\n               = 0.14) female cook exposures. Primary/secondary cooking fuel type was the only significant predictor in all four models. Other significant predictors of PM\n              2.5\n              and CO kitchen concentrations were cooking location and household size; household financial security and rental status were only predictive of PM\n              2.5\n              concentrations. Cooking location, household financial security and proxies of ambient air pollution exposure were significant predictors of PM\n              2.5\n              cook exposures. Including objective cooking time measurements (from temperature sensors) from (n = 143) households substantially improved (by 52%) the explained variability of the CO kitchen concentration model, but not the PM\n              2.5\n              model. Socioeconomic characteristics and markers of ambient air pollution exposure were strongly associated with mean PM\n              2.5\n              measurements, while cooking environment variables were more predictive of mean CO levels.","container-title":"Scientific Reports","DOI":"10.1038/s41598-024-81413-y","ISSN":"2045-2322","issue":"1","journalAbbreviation":"Sci Rep","language":"en","page":"6856","source":"DOI.org (Crossref)","title":"Multinational modelling of PM2.5 and CO exposures from household air pollution in peri-urban Cameroon, Ghana and Kenya","URL":"https://www.nature.com/articles/s41598-024-81413-y","volume":"15","author":[{"family":"Williams","given":"Harry"},{"family":"Baame","given":"Miranda"},{"family":"Lorenzetti","given":"Federico"},{"family":"Mangeni","given":"Judith"},{"family":"Nix","given":"Emily"},{"family":"Betang","given":"Emmanuel"},{"family":"Chartier","given":"Ryan"},{"family":"Sang","given":"Edna"},{"family":"Wilson","given":"Daniel"},{"family":"Tawiah","given":"Theresa"},{"family":"Quansah","given":"Reginald"},{"family":"Puzzolo","given":"Elisa"},{"family":"Menya","given":"Diana"},{"family":"Ngahane","given":"Bertrand Hugo Mbatchou"},{"family":"Pope","given":"Daniel"},{"family":"Asante","given":"Kwaku Poku"},{"family":"Shupler","given":"Matthew"}],"accessed":{"date-parts":[["2026",8,30]]},"issued":{"date-parts":[["2025",2,26]]}}}],"schema":"https://github.com/citation-style-language/schema/raw/master/csl-citation.json"} </w:instrText>
      </w:r>
      <w:r w:rsidR="00E5773D">
        <w:rPr>
          <w:rFonts w:eastAsia="Times New Roman"/>
        </w:rPr>
        <w:fldChar w:fldCharType="separate"/>
      </w:r>
      <w:r w:rsidR="00E6458E" w:rsidRPr="00E6458E">
        <w:t>(Williams et al., 2025)</w:t>
      </w:r>
      <w:r w:rsidR="00E5773D">
        <w:rPr>
          <w:rFonts w:eastAsia="Times New Roman"/>
        </w:rPr>
        <w:fldChar w:fldCharType="end"/>
      </w:r>
      <w:r w:rsidR="00E5773D">
        <w:rPr>
          <w:rFonts w:eastAsia="Times New Roman"/>
          <w:lang w:val="en-US"/>
        </w:rPr>
        <w:t xml:space="preserve">; </w:t>
      </w:r>
      <w:r w:rsidR="00E5773D">
        <w:rPr>
          <w:rFonts w:eastAsia="Times New Roman"/>
          <w:lang w:val="en-US"/>
        </w:rPr>
        <w:fldChar w:fldCharType="begin"/>
      </w:r>
      <w:r w:rsidR="00E6458E">
        <w:rPr>
          <w:rFonts w:eastAsia="Times New Roman"/>
          <w:lang w:val="en-US"/>
        </w:rPr>
        <w:instrText xml:space="preserve"> ADDIN ZOTERO_ITEM CSL_CITATION {"citationID":"IhvK29gz","properties":{"unsorted":false,"formattedCitation":"(Enyew et al., 2023)","plainCitation":"(Enyew et al., 2023)","noteIndex":0},"citationItems":[{"id":14919,"uris":["http://zotero.org/users/local/vwAKDnao/items/DYXUFHAM"],"itemData":{"id":14919,"type":"article-journal","abstract":"Background\n              \n                Combustion of solid biomass fuels using traditional stoves which is the daily routine for 3 billion people emits various air pollutants including fine particulate matter which is one of the widely recognized risk factors for various cardiorespiratory and other health problems. But, there is only limited evidences of kitchen PM\n                2.5\n                concentrations in rural Ethiopia.\n              \n            \n            \n              Objective\n              \n                This study is aimed to estimate the 24-h average kitchen area concentrations of PM\n                2.5\n                and to identify associated factors in rural households of northwest Ethiopia.\n              \n            \n            \n              Method\n              \n                The average kitchen area PM\n                2.5\n                concentrations were measured using a low-cost light-scattering Particle and Temperature Sensor Plus (PATS+) for a 24-h sampling period. Data from the PATS+ was downloaded in electronic form for further analysis. Other characteristics were collected using face-to-face interviews. Independent sample t-test and one-way analysis of variance were used to test differences in PM\n                2.5\n                concentrations between and among various characteristics, respectively.\n              \n            \n            \n              Result\n              \n                Mixed fuels were the most common cooking biomass fuel. The 24-h average kitchen PM\n                2.5\n                concentrations was estimated to be 405 μg/m\n                3\n                , ranging from 52 to 965 μg/m\n                3\n                . The average concentrations were 639 vs. 336 μg/m\n                3\n                (\n                p\n                &amp;lt; 0.001) in the thatched and corrugated iron sheet roof kitchens, respectively. The average concentration was also higher among mixed fuel users at 493 vs. 347 μg/m\n                3\n                (\n                p\n                = 0.042) compared with firewood users and 493 vs. 233 μg/m\n                3\n                (\n                p\n                = 0.007) as compared with crop residue fuel users. Statistically significant differences were also observed across starter fuel types 613 vs. 343 μg/m\n                3\n                (\n                p\n                = 0.016) for kerosene vs. dried leaves and Injera baking events 523 vs. 343 μg/m\n                3\n                (\n                p\n                &amp;lt; 0.001) for baked vs. not baked events.\n              \n            \n            \n              Conclusion\n              \n                The average kitchen PM\n                2.5\n                concentrations in the study area exceeded the world health organization indoor air quality guideline value of 15 μg/m\n                3\n                which can put pregnant women at greater risk and contribute to poor pregnancy outcomes. Thatched roof kitchen, mixed cooking fuel, kerosene fire starter, and Injera baking events were positively associated with high-level average kitchen PM\n                2.5.\n                concentration\n                .\n                Simple cost-effective interventions like the use of chimney-fitted improved stoves and sensitizing women about factors that aggravate kitchen PM\n                2.5\n                concentrations could reduce kitchen PM\n                2.5\n                levels in the future.","container-title":"Frontiers in Public Health","DOI":"10.3389/fpubh.2023.1241977","ISSN":"2296-2565","journalAbbreviation":"Front. Public Health","page":"1241977","source":"DOI.org (Crossref)","title":"Kitchen fine particulate matter (PM2.5) concentrations from biomass fuel use in rural households of Northwest Ethiopia","URL":"https://www.frontiersin.org/articles/10.3389/fpubh.2023.1241977/full","volume":"11","author":[{"family":"Enyew","given":"Habtamu Demelash"},{"family":"Hailu","given":"Abebe Beyene"},{"family":"Mereta","given":"Seid Tiku"}],"accessed":{"date-parts":[["2026",8,30]]},"issued":{"date-parts":[["2023",10,17]]}}}],"schema":"https://github.com/citation-style-language/schema/raw/master/csl-citation.json"} </w:instrText>
      </w:r>
      <w:r w:rsidR="00E5773D">
        <w:rPr>
          <w:rFonts w:eastAsia="Times New Roman"/>
          <w:lang w:val="en-US"/>
        </w:rPr>
        <w:fldChar w:fldCharType="separate"/>
      </w:r>
      <w:r w:rsidR="00E6458E" w:rsidRPr="00E6458E">
        <w:t>(Enyew et al., 2023)</w:t>
      </w:r>
      <w:r w:rsidR="00E5773D">
        <w:rPr>
          <w:rFonts w:eastAsia="Times New Roman"/>
          <w:lang w:val="en-US"/>
        </w:rPr>
        <w:fldChar w:fldCharType="end"/>
      </w:r>
      <w:r w:rsidR="00E5773D">
        <w:rPr>
          <w:rFonts w:eastAsia="Times New Roman"/>
          <w:lang w:val="en-US"/>
        </w:rPr>
        <w:t>.</w:t>
      </w:r>
    </w:p>
    <w:p w14:paraId="059F1A4E" w14:textId="77777777" w:rsidR="001A407D" w:rsidRDefault="001A407D" w:rsidP="001A407D">
      <w:pPr>
        <w:outlineLvl w:val="1"/>
        <w:rPr>
          <w:rFonts w:eastAsia="Times New Roman"/>
        </w:rPr>
      </w:pPr>
    </w:p>
    <w:p w14:paraId="0E2CA592" w14:textId="00317D43" w:rsidR="00A82A47" w:rsidRPr="001A407D" w:rsidRDefault="00A82A47" w:rsidP="001A407D">
      <w:pPr>
        <w:outlineLvl w:val="1"/>
        <w:rPr>
          <w:rFonts w:eastAsia="Times New Roman"/>
          <w:i/>
          <w:iCs/>
        </w:rPr>
      </w:pPr>
      <w:r w:rsidRPr="001A407D">
        <w:rPr>
          <w:rFonts w:eastAsia="Times New Roman"/>
          <w:i/>
          <w:iCs/>
        </w:rPr>
        <w:t>Respiratory Symptoms among Respondents</w:t>
      </w:r>
    </w:p>
    <w:p w14:paraId="61D889A2" w14:textId="7EEE4239" w:rsidR="00A82A47" w:rsidRPr="00A82A47" w:rsidRDefault="00A82A47" w:rsidP="001A407D">
      <w:pPr>
        <w:ind w:firstLine="720"/>
        <w:jc w:val="both"/>
        <w:rPr>
          <w:rFonts w:eastAsia="Times New Roman"/>
        </w:rPr>
      </w:pPr>
      <w:r w:rsidRPr="00A82A47">
        <w:rPr>
          <w:rFonts w:eastAsia="Times New Roman"/>
        </w:rPr>
        <w:t xml:space="preserve">The study found that persistent cough, eye irritation, headaches, wheezing, and shortness of breath were frequently reported among respondents. These findings are consistent with those of </w:t>
      </w:r>
      <w:r w:rsidR="00E5773D">
        <w:rPr>
          <w:rFonts w:eastAsia="Times New Roman"/>
        </w:rPr>
        <w:fldChar w:fldCharType="begin"/>
      </w:r>
      <w:r w:rsidR="00E6458E">
        <w:rPr>
          <w:rFonts w:eastAsia="Times New Roman"/>
        </w:rPr>
        <w:instrText xml:space="preserve"> ADDIN ZOTERO_ITEM CSL_CITATION {"citationID":"OAik5BZH","properties":{"unsorted":false,"formattedCitation":"(Katoto et al., 2018)","plainCitation":"(Katoto et al., 2018)","noteIndex":0},"citationItems":[{"id":14912,"uris":["http://zotero.org/users/local/vwAKDnao/items/64BS4NHD"],"itemData":{"id":14912,"type":"article-journal","abstract":"Little is known about the respiratory health damage related to household air pollution (HAP) in survivors of pulmonary tuberculosis (PTB). In a population-based cross-sectional study, we determined the prevalence and associated predictors of chronic cough and hemoptysis in 441 randomly selected PTB survivors living in 13 remote health zones with high TB burden in the South Kivu province of the Democratic Republic of Congo (DRC). Trained community and health-care workers administered a validated questionnaire. In a multivariate logistic regression, chronic cough was independently associated with HAP (adjusted odds ratios (aOR) 2.10, 95% CI: 1.10–4.00) and PTB treatment &gt;6 months (aOR 3.80, 95% CI: 1.62–8.96). Among women, chronic cough was associated with cooking ≥3 h daily (aOR 2.74, 95% CI: 1.25–6.07) and with HAP (aOR 3.93, 95% CI: 1.15–13.43). Independent predictors of hemoptysis were PTB retreatment (aOR 3.04, 95% CI: 1.04–5.09) and ignorance of treatment outcome (aOR 2.24, 95% CI: 1.09–4.58) but not HAP (aOR 1.86, 95% CI: 0.61–5.62). Exposure to HAP proved a major risk factor for chronic cough in PTB survivors, especially in women. This factor is amenable to intervention.","container-title":"International Journal of Environmental Research and Public Health","DOI":"10.3390/ijerph15112563","ISSN":"1660-4601","issue":"11","journalAbbreviation":"IJERPH","language":"en","page":"2563","source":"DOI.org (Crossref)","title":"Household Air Pollution Is Associated with Chronic Cough but Not Hemoptysis after Completion of Pulmonary Tuberculosis Treatment in Adults, Rural Eastern Democratic Republic of Congo","URL":"https://www.mdpi.com/1660-4601/15/11/2563","volume":"15","author":[{"family":"Katoto","given":"Patrick D.M.C."},{"family":"Murhula","given":"Aime"},{"family":"Kayembe-Kitenge","given":"Tony"},{"family":"Lawin","given":"Herve"},{"family":"Bisimwa","given":"Bertin C."},{"family":"Cirhambiza","given":"Jean Paul"},{"family":"Musafiri","given":"Eric"},{"family":"Birembano","given":"Freddy"},{"family":"Kashongwe","given":"Zacharie"},{"family":"Kirenga","given":"Bruce"},{"family":"Mfinanga","given":"Sayoki"},{"family":"Mortimer","given":"Kevin"},{"family":"De Boever","given":"Patrick"},{"family":"Nawrot","given":"Tim S."},{"family":"Nachega","given":"Jean B."},{"family":"Nemery","given":"Benoit"}],"accessed":{"date-parts":[["2026",8,30]]},"issued":{"date-parts":[["2018",11,15]]}}}],"schema":"https://github.com/citation-style-language/schema/raw/master/csl-citation.json"} </w:instrText>
      </w:r>
      <w:r w:rsidR="00E5773D">
        <w:rPr>
          <w:rFonts w:eastAsia="Times New Roman"/>
        </w:rPr>
        <w:fldChar w:fldCharType="separate"/>
      </w:r>
      <w:r w:rsidR="00E6458E" w:rsidRPr="00E6458E">
        <w:t>(Katoto et al., 2018)</w:t>
      </w:r>
      <w:r w:rsidR="00E5773D">
        <w:rPr>
          <w:rFonts w:eastAsia="Times New Roman"/>
        </w:rPr>
        <w:fldChar w:fldCharType="end"/>
      </w:r>
      <w:r w:rsidRPr="00A82A47">
        <w:rPr>
          <w:rFonts w:eastAsia="Times New Roman"/>
        </w:rPr>
        <w:t xml:space="preserve">, who reported that prolonged exposure to biomass smoke substantially increases the risk of respiratory infections and chronic respiratory diseases. Similarly, </w:t>
      </w:r>
      <w:r w:rsidR="00E5773D">
        <w:rPr>
          <w:rFonts w:eastAsia="Times New Roman"/>
        </w:rPr>
        <w:fldChar w:fldCharType="begin"/>
      </w:r>
      <w:r w:rsidR="00E6458E">
        <w:rPr>
          <w:rFonts w:eastAsia="Times New Roman"/>
        </w:rPr>
        <w:instrText xml:space="preserve"> ADDIN ZOTERO_ITEM CSL_CITATION {"citationID":"QR8GB2yU","properties":{"unsorted":false,"formattedCitation":"(Radbel et al., 2024)","plainCitation":"(Radbel et al., 2024)","noteIndex":0},"citationItems":[{"id":14911,"uris":["http://zotero.org/users/local/vwAKDnao/items/HA3DUS3S"],"itemData":{"id":14911,"type":"article-journal","container-title":"Journal of Allergy and Clinical Immunology","DOI":"10.1016/j.jaci.2024.08.013","ISSN":"00916749","issue":"4","journalAbbreviation":"Journal of Allergy and Clinical Immunology","language":"en","page":"835-846","source":"DOI.org (Crossref)","title":"Indoor air pollution and airway health","URL":"https://linkinghub.elsevier.com/retrieve/pii/S0091674924008637","volume":"154","author":[{"family":"Radbel","given":"Jared"},{"family":"Rebuli","given":"Meghan E."},{"family":"Kipen","given":"Howard"},{"family":"Brigham","given":"Emily"}],"accessed":{"date-parts":[["2026",8,30]]},"issued":{"date-parts":[["2024",10]]}}}],"schema":"https://github.com/citation-style-language/schema/raw/master/csl-citation.json"} </w:instrText>
      </w:r>
      <w:r w:rsidR="00E5773D">
        <w:rPr>
          <w:rFonts w:eastAsia="Times New Roman"/>
        </w:rPr>
        <w:fldChar w:fldCharType="separate"/>
      </w:r>
      <w:r w:rsidR="00E6458E" w:rsidRPr="00E6458E">
        <w:t>(Radbel et al., 2024)</w:t>
      </w:r>
      <w:r w:rsidR="00E5773D">
        <w:rPr>
          <w:rFonts w:eastAsia="Times New Roman"/>
        </w:rPr>
        <w:fldChar w:fldCharType="end"/>
      </w:r>
      <w:r w:rsidRPr="00A82A47">
        <w:rPr>
          <w:rFonts w:eastAsia="Times New Roman"/>
        </w:rPr>
        <w:t xml:space="preserve"> concluded that household air pollution is strongly associated with chronic cough, wheezing, chronic bronchitis, and reduced lung function. The relatively high prevalence of eye </w:t>
      </w:r>
      <w:r w:rsidRPr="00A82A47">
        <w:rPr>
          <w:rFonts w:eastAsia="Times New Roman"/>
        </w:rPr>
        <w:lastRenderedPageBreak/>
        <w:t>irritation observed in the study is expected because smoke from biomass combustion contains irritant gases and particulate matter that directly affect the conjunctiva and upper respiratory tract.</w:t>
      </w:r>
    </w:p>
    <w:p w14:paraId="34CAEA4A" w14:textId="77777777" w:rsidR="001A407D" w:rsidRDefault="001A407D" w:rsidP="001A407D">
      <w:pPr>
        <w:outlineLvl w:val="1"/>
        <w:rPr>
          <w:rFonts w:eastAsia="Times New Roman"/>
        </w:rPr>
      </w:pPr>
    </w:p>
    <w:p w14:paraId="4B250383" w14:textId="1B69616A" w:rsidR="00A82A47" w:rsidRPr="001A407D" w:rsidRDefault="00A82A47" w:rsidP="001A407D">
      <w:pPr>
        <w:outlineLvl w:val="1"/>
        <w:rPr>
          <w:rFonts w:eastAsia="Times New Roman"/>
          <w:i/>
          <w:iCs/>
        </w:rPr>
      </w:pPr>
      <w:r w:rsidRPr="001A407D">
        <w:rPr>
          <w:rFonts w:eastAsia="Times New Roman"/>
          <w:i/>
          <w:iCs/>
        </w:rPr>
        <w:t>Association between Biomass Fuel Use and Respiratory Health</w:t>
      </w:r>
    </w:p>
    <w:p w14:paraId="66049580" w14:textId="42933259" w:rsidR="00A82A47" w:rsidRPr="00A82A47" w:rsidRDefault="00A82A47" w:rsidP="001A407D">
      <w:pPr>
        <w:ind w:firstLine="720"/>
        <w:jc w:val="both"/>
        <w:rPr>
          <w:rFonts w:eastAsia="Times New Roman"/>
        </w:rPr>
      </w:pPr>
      <w:r w:rsidRPr="00A82A47">
        <w:rPr>
          <w:rFonts w:eastAsia="Times New Roman"/>
        </w:rPr>
        <w:t xml:space="preserve">The illustrative chi-square analysis suggested a statistically significant association between biomass fuel use and respiratory symptoms. This finding is consistent with Kurmi et al. (2012), who found that biomass smoke exposure significantly increased the likelihood of chronic obstructive pulmonary disease (COPD), chronic bronchitis, and other respiratory disorders. Similarly, </w:t>
      </w:r>
      <w:r w:rsidR="0054343D">
        <w:rPr>
          <w:rFonts w:eastAsia="Times New Roman"/>
        </w:rPr>
        <w:fldChar w:fldCharType="begin"/>
      </w:r>
      <w:r w:rsidR="00E6458E">
        <w:rPr>
          <w:rFonts w:eastAsia="Times New Roman"/>
        </w:rPr>
        <w:instrText xml:space="preserve"> ADDIN ZOTERO_ITEM CSL_CITATION {"citationID":"m3Jr0wQX","properties":{"unsorted":false,"formattedCitation":"(Liu et al., 2025)","plainCitation":"(Liu et al., 2025)","noteIndex":0},"citationItems":[{"id":14908,"uris":["http://zotero.org/users/local/vwAKDnao/items/2TL8MHAG"],"itemData":{"id":14908,"type":"article-journal","container-title":"Ecotoxicology and Environmental Safety","DOI":"10.1016/j.ecoenv.2025.117908","ISSN":"01476513","journalAbbreviation":"Ecotoxicology and Environmental Safety","language":"en","page":"117908","source":"DOI.org (Crossref)","title":"Disparities in global disease burden attributed to ambient particulate matter pollution and household air pollution from solid fuels","URL":"https://linkinghub.elsevier.com/retrieve/pii/S0147651325002441","volume":"291","author":[{"family":"Liu","given":"Qiao"},{"family":"Li","given":"Dun"},{"family":"Xu","given":"Zhe"},{"family":"Wang","given":"Yaogang"},{"family":"Liu","given":"Jue"}],"accessed":{"date-parts":[["2026",8,30]]},"issued":{"date-parts":[["2025",2]]}}}],"schema":"https://github.com/citation-style-language/schema/raw/master/csl-citation.json"} </w:instrText>
      </w:r>
      <w:r w:rsidR="0054343D">
        <w:rPr>
          <w:rFonts w:eastAsia="Times New Roman"/>
        </w:rPr>
        <w:fldChar w:fldCharType="separate"/>
      </w:r>
      <w:r w:rsidR="00E6458E" w:rsidRPr="00E6458E">
        <w:t>(Liu et al., 2025)</w:t>
      </w:r>
      <w:r w:rsidR="0054343D">
        <w:rPr>
          <w:rFonts w:eastAsia="Times New Roman"/>
        </w:rPr>
        <w:fldChar w:fldCharType="end"/>
      </w:r>
      <w:r w:rsidR="0054343D">
        <w:rPr>
          <w:rFonts w:eastAsia="Times New Roman"/>
          <w:lang w:val="en-US"/>
        </w:rPr>
        <w:t xml:space="preserve">; </w:t>
      </w:r>
      <w:r w:rsidR="0054343D">
        <w:rPr>
          <w:rFonts w:eastAsia="Times New Roman"/>
          <w:lang w:val="en-US"/>
        </w:rPr>
        <w:fldChar w:fldCharType="begin"/>
      </w:r>
      <w:r w:rsidR="00E6458E">
        <w:rPr>
          <w:rFonts w:eastAsia="Times New Roman"/>
          <w:lang w:val="en-US"/>
        </w:rPr>
        <w:instrText xml:space="preserve"> ADDIN ZOTERO_ITEM CSL_CITATION {"citationID":"v91tg3Q5","properties":{"unsorted":false,"formattedCitation":"(Barrow et al., 2026)","plainCitation":"(Barrow et al., 2026)","noteIndex":0},"citationItems":[{"id":14909,"uris":["http://zotero.org/users/local/vwAKDnao/items/J3C8YEJ3"],"itemData":{"id":14909,"type":"article-journal","container-title":"Discover Public Health","DOI":"10.1186/s12982-026-01999-8","ISSN":"3005-0774","issue":"1","journalAbbreviation":"Discov Public Health","language":"en","page":"660","source":"DOI.org (Crossref)","title":"Air pollution, health system capacity, and non-communicable disease mortality in West Africa: a mediation analysis of the environmental health-healthcare financing nexus","title-short":"Air pollution, health system capacity, and non-communicable disease mortality in West Africa","URL":"https://link.springer.com/10.1186/s12982-026-01999-8","volume":"23","author":[{"family":"Barrow","given":"Amadou"},{"family":"Oyareme","given":"Vincent"},{"family":"Kuye","given":"Rex A."}],"accessed":{"date-parts":[["2026",8,30]]},"issued":{"date-parts":[["2026",5,5]]}}}],"schema":"https://github.com/citation-style-language/schema/raw/master/csl-citation.json"} </w:instrText>
      </w:r>
      <w:r w:rsidR="0054343D">
        <w:rPr>
          <w:rFonts w:eastAsia="Times New Roman"/>
          <w:lang w:val="en-US"/>
        </w:rPr>
        <w:fldChar w:fldCharType="separate"/>
      </w:r>
      <w:r w:rsidR="00E6458E" w:rsidRPr="00E6458E">
        <w:t>(Barrow et al., 2026)</w:t>
      </w:r>
      <w:r w:rsidR="0054343D">
        <w:rPr>
          <w:rFonts w:eastAsia="Times New Roman"/>
          <w:lang w:val="en-US"/>
        </w:rPr>
        <w:fldChar w:fldCharType="end"/>
      </w:r>
      <w:r w:rsidR="0054343D">
        <w:rPr>
          <w:rFonts w:eastAsia="Times New Roman"/>
          <w:lang w:val="en-US"/>
        </w:rPr>
        <w:t xml:space="preserve"> </w:t>
      </w:r>
      <w:r w:rsidRPr="00A82A47">
        <w:rPr>
          <w:rFonts w:eastAsia="Times New Roman"/>
        </w:rPr>
        <w:t>estimates that household air pollution contributes substantially to lower respiratory infections, chronic respiratory diseases, cardiovascular diseases, and premature mortality worldwide. Research conducted in northern Nigeria has also reported increased respiratory symptoms among women responsible for cooking with firewood in enclosed kitchens, supporting the findings of the present study.</w:t>
      </w:r>
    </w:p>
    <w:p w14:paraId="5466E4BB" w14:textId="77777777" w:rsidR="001A407D" w:rsidRDefault="001A407D" w:rsidP="001A407D">
      <w:pPr>
        <w:outlineLvl w:val="1"/>
        <w:rPr>
          <w:rFonts w:eastAsia="Times New Roman"/>
        </w:rPr>
      </w:pPr>
    </w:p>
    <w:p w14:paraId="58E83254" w14:textId="678AD6FF" w:rsidR="00A82A47" w:rsidRPr="001A407D" w:rsidRDefault="00A82A47" w:rsidP="001A407D">
      <w:pPr>
        <w:outlineLvl w:val="1"/>
        <w:rPr>
          <w:rFonts w:eastAsia="Times New Roman"/>
          <w:i/>
          <w:iCs/>
        </w:rPr>
      </w:pPr>
      <w:r w:rsidRPr="001A407D">
        <w:rPr>
          <w:rFonts w:eastAsia="Times New Roman"/>
          <w:i/>
          <w:iCs/>
        </w:rPr>
        <w:t>Kitchen Ventilation and Respiratory Health</w:t>
      </w:r>
    </w:p>
    <w:p w14:paraId="5EDFB0C2" w14:textId="154C7895" w:rsidR="00A82A47" w:rsidRPr="00A82A47" w:rsidRDefault="00A82A47" w:rsidP="001A407D">
      <w:pPr>
        <w:ind w:firstLine="720"/>
        <w:jc w:val="both"/>
        <w:rPr>
          <w:rFonts w:eastAsia="Times New Roman"/>
        </w:rPr>
      </w:pPr>
      <w:r w:rsidRPr="00A82A47">
        <w:rPr>
          <w:rFonts w:eastAsia="Times New Roman"/>
        </w:rPr>
        <w:t xml:space="preserve">The study further indicated that respondents living in households with inadequate ventilation were more likely to experience respiratory symptoms. This observation agrees with </w:t>
      </w:r>
      <w:r w:rsidR="0054343D">
        <w:rPr>
          <w:rFonts w:eastAsia="Times New Roman"/>
        </w:rPr>
        <w:fldChar w:fldCharType="begin"/>
      </w:r>
      <w:r w:rsidR="00E6458E">
        <w:rPr>
          <w:rFonts w:eastAsia="Times New Roman"/>
        </w:rPr>
        <w:instrText xml:space="preserve"> ADDIN ZOTERO_ITEM CSL_CITATION {"citationID":"2SPOcHbK","properties":{"unsorted":false,"formattedCitation":"(Roslan et al., 2026)","plainCitation":"(Roslan et al., 2026)","noteIndex":0},"citationItems":[{"id":14906,"uris":["http://zotero.org/users/local/vwAKDnao/items/MVUVH67U"],"itemData":{"id":14906,"type":"article-journal","container-title":"Environmental Pollution","DOI":"10.1016/j.envpol.2026.127966","ISSN":"02697491","journalAbbreviation":"Environmental Pollution","language":"en","page":"127966","source":"DOI.org (Crossref)","title":"A review of indoor air quality (IAQ) in classrooms: The effect of particulate matter (PM), gaseous pollutants, and airborne pathogens","title-short":"A review of indoor air quality (IAQ) in classrooms","URL":"https://linkinghub.elsevier.com/retrieve/pii/S0269749126003362","volume":"397","author":[{"family":"Roslan","given":"Nurul Shahadah"},{"family":"Mat","given":"Mohamad Nur Hidayat"},{"family":"Rani","given":"Muhammad Faiz Hilmi"}],"accessed":{"date-parts":[["2026",8,30]]},"issued":{"date-parts":[["2026",5]]}}}],"schema":"https://github.com/citation-style-language/schema/raw/master/csl-citation.json"} </w:instrText>
      </w:r>
      <w:r w:rsidR="0054343D">
        <w:rPr>
          <w:rFonts w:eastAsia="Times New Roman"/>
        </w:rPr>
        <w:fldChar w:fldCharType="separate"/>
      </w:r>
      <w:r w:rsidR="00E6458E" w:rsidRPr="00E6458E">
        <w:t>(Roslan et al., 2026)</w:t>
      </w:r>
      <w:r w:rsidR="0054343D">
        <w:rPr>
          <w:rFonts w:eastAsia="Times New Roman"/>
        </w:rPr>
        <w:fldChar w:fldCharType="end"/>
      </w:r>
      <w:r w:rsidR="0054343D">
        <w:rPr>
          <w:rFonts w:eastAsia="Times New Roman"/>
          <w:lang w:val="en-US"/>
        </w:rPr>
        <w:t xml:space="preserve">; </w:t>
      </w:r>
      <w:r w:rsidR="0054343D">
        <w:rPr>
          <w:rFonts w:eastAsia="Times New Roman"/>
          <w:lang w:val="en-US"/>
        </w:rPr>
        <w:fldChar w:fldCharType="begin"/>
      </w:r>
      <w:r w:rsidR="00E6458E">
        <w:rPr>
          <w:rFonts w:eastAsia="Times New Roman"/>
          <w:lang w:val="en-US"/>
        </w:rPr>
        <w:instrText xml:space="preserve"> ADDIN ZOTERO_ITEM CSL_CITATION {"citationID":"6v3IHYgF","properties":{"unsorted":false,"formattedCitation":"(Nie et al., 2025)","plainCitation":"(Nie et al., 2025)","noteIndex":0},"citationItems":[{"id":14907,"uris":["http://zotero.org/users/local/vwAKDnao/items/9SVREZMC"],"itemData":{"id":14907,"type":"article-journal","abstract":"As urbanization accelerates, indoor air quality has emerged as a critical determinant of population health. To systematically evaluate the relationship between indoor air quality (IAQ) and human physiological responses, we conducted a comprehensive review of 63 experimental studies retrieved from three major databases (ScienceDirect, Google Scholar, Web of Science) spanning the years 2000–2023. This systematic review synthesizes evidence from experimental studies examining the physiological impacts of indoor air contaminants, including gaseous pollutants, particulate matter (PM), and volatile organic compounds (VOCs). Through an analysis of cardiovascular biomarkers (heart rate variability, blood pressure), respiratory parameters, and neurological indicators (electroencephalogram patterns), we identify the mechanisms linking air quality degradation to impaired physiological functioning. Our findings demonstrate that optimized ventilation systems and high-efficiency particulate filtration can mitigate exposure risks, potentially enhancing cardiovascular efficiency, pulmonary capacity, and cognitive performance. The evidence further suggests that sustained improvements for indoor environments may decrease incidence rates of respiratory pathologies and neurological disorders.","container-title":"Buildings","DOI":"10.3390/buildings15081296","ISSN":"2075-5309","issue":"8","journalAbbreviation":"Buildings","language":"en","page":"1296","source":"DOI.org (Crossref)","title":"Effects of Indoor Air Quality on Human Physiological Impact: A Review","title-short":"Effects of Indoor Air Quality on Human Physiological Impact","URL":"https://www.mdpi.com/2075-5309/15/8/1296","volume":"15","author":[{"family":"Nie","given":"Tong"},{"family":"Zhang","given":"Guofu"},{"family":"Sun","given":"Yinan"},{"family":"Wang","given":"Wenhao"},{"family":"Wang","given":"Tianai"},{"family":"Duan","given":"Haoyan"}],"accessed":{"date-parts":[["2026",8,30]]},"issued":{"date-parts":[["2025",4,15]]}}}],"schema":"https://github.com/citation-style-language/schema/raw/master/csl-citation.json"} </w:instrText>
      </w:r>
      <w:r w:rsidR="0054343D">
        <w:rPr>
          <w:rFonts w:eastAsia="Times New Roman"/>
          <w:lang w:val="en-US"/>
        </w:rPr>
        <w:fldChar w:fldCharType="separate"/>
      </w:r>
      <w:r w:rsidR="00E6458E" w:rsidRPr="00E6458E">
        <w:t>(Nie et al., 2025)</w:t>
      </w:r>
      <w:r w:rsidR="0054343D">
        <w:rPr>
          <w:rFonts w:eastAsia="Times New Roman"/>
          <w:lang w:val="en-US"/>
        </w:rPr>
        <w:fldChar w:fldCharType="end"/>
      </w:r>
      <w:r w:rsidRPr="00A82A47">
        <w:rPr>
          <w:rFonts w:eastAsia="Times New Roman"/>
        </w:rPr>
        <w:t xml:space="preserve">, who reported that poor ventilation significantly increases indoor particulate concentrations and consequently raises the risk of respiratory illnesses. Similarly, </w:t>
      </w:r>
      <w:r w:rsidR="00144320">
        <w:rPr>
          <w:rFonts w:eastAsia="Times New Roman"/>
        </w:rPr>
        <w:fldChar w:fldCharType="begin"/>
      </w:r>
      <w:r w:rsidR="00E6458E">
        <w:rPr>
          <w:rFonts w:eastAsia="Times New Roman"/>
        </w:rPr>
        <w:instrText xml:space="preserve"> ADDIN ZOTERO_ITEM CSL_CITATION {"citationID":"gxoq0zR4","properties":{"unsorted":false,"formattedCitation":"(Rinne et al., 2006)","plainCitation":"(Rinne et al., 2006)","noteIndex":0},"citationItems":[{"id":14901,"uris":["http://zotero.org/users/local/vwAKDnao/items/JYYJKHGE"],"itemData":{"id":14901,"type":"article-journal","container-title":"Respiratory Medicine","DOI":"10.1016/j.rmed.2005.10.020","ISSN":"09546111","issue":"7","journalAbbreviation":"Respiratory Medicine","language":"en","page":"1208-1215","source":"DOI.org (Crossref)","title":"Relationship of pulmonary function among women and children to indoor air pollution from biomass use in rural Ecuador","URL":"https://linkinghub.elsevier.com/retrieve/pii/S0954611105004658","volume":"100","author":[{"family":"Rinne","given":"Seppo T."},{"family":"Rodas","given":"Edgar J."},{"family":"Bender","given":"Brooke S."},{"family":"Rinne","given":"Mikael L."},{"family":"Simpson","given":"Joshua M."},{"family":"Galer-Unti","given":"Regina"},{"family":"Glickman","given":"Larry T."}],"accessed":{"date-parts":[["2026",8,30]]},"issued":{"date-parts":[["2006",7]]}}}],"schema":"https://github.com/citation-style-language/schema/raw/master/csl-citation.json"} </w:instrText>
      </w:r>
      <w:r w:rsidR="00144320">
        <w:rPr>
          <w:rFonts w:eastAsia="Times New Roman"/>
        </w:rPr>
        <w:fldChar w:fldCharType="separate"/>
      </w:r>
      <w:r w:rsidR="00E6458E" w:rsidRPr="00E6458E">
        <w:t>(Rinne et al., 2006)</w:t>
      </w:r>
      <w:r w:rsidR="00144320">
        <w:rPr>
          <w:rFonts w:eastAsia="Times New Roman"/>
        </w:rPr>
        <w:fldChar w:fldCharType="end"/>
      </w:r>
      <w:r w:rsidR="00144320">
        <w:rPr>
          <w:rFonts w:eastAsia="Times New Roman"/>
          <w:lang w:val="en-US"/>
        </w:rPr>
        <w:t xml:space="preserve">; </w:t>
      </w:r>
      <w:r w:rsidR="00144320">
        <w:rPr>
          <w:rFonts w:eastAsia="Times New Roman"/>
          <w:lang w:val="en-US"/>
        </w:rPr>
        <w:fldChar w:fldCharType="begin"/>
      </w:r>
      <w:r w:rsidR="00E6458E">
        <w:rPr>
          <w:rFonts w:eastAsia="Times New Roman"/>
          <w:lang w:val="en-US"/>
        </w:rPr>
        <w:instrText xml:space="preserve"> ADDIN ZOTERO_ITEM CSL_CITATION {"citationID":"Vt6U6js4","properties":{"unsorted":false,"formattedCitation":"(Odame et al., 2025)","plainCitation":"(Odame et al., 2025)","noteIndex":0},"citationItems":[{"id":14902,"uris":["http://zotero.org/users/local/vwAKDnao/items/N6K7K7CH"],"itemData":{"id":14902,"type":"article-journal","abstract":"Abstract\n            \n              Background\n              Exposure to smoke from unclean fuels increases children’s risk of acute respiratory infection (ARI). Although studies have extensively examined the association between the type of cooking fuel used and ARI in sub-Saharan Africa (SSA), few have accounted for the composite effect of the type of cooking fuel and the place of cooking on ARI. This study examined the effect of household smoke exposure risk on ARI among children under five years in SSA by accounting for the composite effect of the type of cooking fuel and place of cooking. It also examined the covariates of ARI among children under five years in SSA.\n            \n            \n              Methods\n              The study used the Demographic and Health Survey (2010–2020) of 33 sub-Saharan African countries. While controlling for household, child and maternal characteristics, logit models were used to examine the effect of household smoke exposure risk on ARI among children under five years, along with their associated odds ratios and marginal effects.\n            \n            \n              Results\n              The results showed that the prevalence of ARI among children under five years was 4.4% in SSA. The majority of households (56%) were exposed to a high risk of household smoke exposure. Household smoke exposure risk was a significant predictor of ARI among children under five years. In addition, characteristics of children (sex, age, breastfeeding, and a child living with a mother), mothers (age, education, and marital status), and household (place of residence, wealth index, main floor material and the number of children under 5 years old per household) were significant predictors of ARI among children under five years.\n            \n            \n              Conclusions\n              Health practitioners and policymakers should consider these factors when developing interventions to curb ARI among children under five years in SSA.","container-title":"BMC Public Health","DOI":"10.1186/s12889-025-24708-7","ISSN":"1471-2458","issue":"1","journalAbbreviation":"BMC Public Health","language":"en","page":"3443","source":"DOI.org (Crossref)","title":"Household smoke exposure risk and acute respiratory infection among children under five years in sub-Saharan Africa: evidence from the demographic and health surveys","title-short":"Household smoke exposure risk and acute respiratory infection among children under five years in sub-Saharan Africa","URL":"https://bmcpublichealth.biomedcentral.com/articles/10.1186/s12889-025-24708-7","volume":"25","author":[{"family":"Odame","given":"Michael Larbi"},{"family":"Asiama","given":"Rexford Kweku"},{"family":"Appiah","given":"Margaret"},{"family":"Afrifa-Anane","given":"Grace Frempong"},{"family":"Kyei-Arthur","given":"Frank"}],"accessed":{"date-parts":[["2026",8,30]]},"issued":{"date-parts":[["2025",10,9]]}}}],"schema":"https://github.com/citation-style-language/schema/raw/master/csl-citation.json"} </w:instrText>
      </w:r>
      <w:r w:rsidR="00144320">
        <w:rPr>
          <w:rFonts w:eastAsia="Times New Roman"/>
          <w:lang w:val="en-US"/>
        </w:rPr>
        <w:fldChar w:fldCharType="separate"/>
      </w:r>
      <w:r w:rsidR="00E6458E" w:rsidRPr="00E6458E">
        <w:t>(Odame et al., 2025)</w:t>
      </w:r>
      <w:r w:rsidR="00144320">
        <w:rPr>
          <w:rFonts w:eastAsia="Times New Roman"/>
          <w:lang w:val="en-US"/>
        </w:rPr>
        <w:fldChar w:fldCharType="end"/>
      </w:r>
      <w:r w:rsidRPr="00A82A47">
        <w:rPr>
          <w:rFonts w:eastAsia="Times New Roman"/>
        </w:rPr>
        <w:t xml:space="preserve"> found that improved household ventilation reduced exposure to biomass smoke and significantly lowered respiratory morbidity among women and children. These findings emphasize the importance of improving kitchen ventilation through additional windows, chimneys, smoke hoods, and separate cooking spaces.</w:t>
      </w:r>
    </w:p>
    <w:p w14:paraId="122FD2E5" w14:textId="77777777" w:rsidR="001A407D" w:rsidRDefault="001A407D" w:rsidP="001A407D">
      <w:pPr>
        <w:outlineLvl w:val="1"/>
        <w:rPr>
          <w:rFonts w:eastAsia="Times New Roman"/>
        </w:rPr>
      </w:pPr>
    </w:p>
    <w:p w14:paraId="468CE010" w14:textId="0795A035" w:rsidR="00A82A47" w:rsidRPr="001A407D" w:rsidRDefault="00A82A47" w:rsidP="001A407D">
      <w:pPr>
        <w:outlineLvl w:val="1"/>
        <w:rPr>
          <w:rFonts w:eastAsia="Times New Roman"/>
          <w:i/>
          <w:iCs/>
        </w:rPr>
      </w:pPr>
      <w:r w:rsidRPr="001A407D">
        <w:rPr>
          <w:rFonts w:eastAsia="Times New Roman"/>
          <w:i/>
          <w:iCs/>
        </w:rPr>
        <w:t>Predictors of Respiratory Symptoms</w:t>
      </w:r>
    </w:p>
    <w:p w14:paraId="257C9AA2" w14:textId="450A5610" w:rsidR="00A82A47" w:rsidRPr="00A82A47" w:rsidRDefault="00A82A47" w:rsidP="001A407D">
      <w:pPr>
        <w:ind w:firstLine="720"/>
        <w:jc w:val="both"/>
        <w:rPr>
          <w:rFonts w:eastAsia="Times New Roman"/>
        </w:rPr>
      </w:pPr>
      <w:r w:rsidRPr="00A82A47">
        <w:rPr>
          <w:rFonts w:eastAsia="Times New Roman"/>
        </w:rPr>
        <w:t xml:space="preserve">The illustrative logistic regression suggested that biomass fuel use, inadequate kitchen ventilation, indoor cooking, and prolonged cooking duration were significant predictors of respiratory symptoms. Comparable findings have been reported by </w:t>
      </w:r>
      <w:r w:rsidR="00626153">
        <w:rPr>
          <w:rFonts w:eastAsia="Times New Roman"/>
        </w:rPr>
        <w:fldChar w:fldCharType="begin"/>
      </w:r>
      <w:r w:rsidR="00E6458E">
        <w:rPr>
          <w:rFonts w:eastAsia="Times New Roman"/>
        </w:rPr>
        <w:instrText xml:space="preserve"> ADDIN ZOTERO_ITEM CSL_CITATION {"citationID":"p3pnfJuD","properties":{"unsorted":false,"formattedCitation":"(Odame &amp; Amoah, 2023)","plainCitation":"(Odame &amp; Amoah, 2023)","noteIndex":0},"citationItems":[{"id":14899,"uris":["http://zotero.org/users/local/vwAKDnao/items/BTWFYE29"],"itemData":{"id":14899,"type":"article-journal","container-title":"Energy Nexus","DOI":"10.1016/j.nexus.2023.100256","ISSN":"27724271","journalAbbreviation":"Energy Nexus","language":"en","page":"100256","source":"DOI.org (Crossref)","title":"Household exposure to the risk of cooking smoke: Evidence from Sub-Saharan Africa","title-short":"Household exposure to the risk of cooking smoke","URL":"https://linkinghub.elsevier.com/retrieve/pii/S2772427123000864","volume":"12","author":[{"family":"Odame","given":"Michael Larbi"},{"family":"Amoah","given":"Anthony"}],"accessed":{"date-parts":[["2026",8,30]]},"issued":{"date-parts":[["2023",12]]}}}],"schema":"https://github.com/citation-style-language/schema/raw/master/csl-citation.json"} </w:instrText>
      </w:r>
      <w:r w:rsidR="00626153">
        <w:rPr>
          <w:rFonts w:eastAsia="Times New Roman"/>
        </w:rPr>
        <w:fldChar w:fldCharType="separate"/>
      </w:r>
      <w:r w:rsidR="00E6458E" w:rsidRPr="00E6458E">
        <w:t>(Odame &amp; Amoah, 2023)</w:t>
      </w:r>
      <w:r w:rsidR="00626153">
        <w:rPr>
          <w:rFonts w:eastAsia="Times New Roman"/>
        </w:rPr>
        <w:fldChar w:fldCharType="end"/>
      </w:r>
      <w:r w:rsidR="00626153">
        <w:rPr>
          <w:rFonts w:eastAsia="Times New Roman"/>
          <w:lang w:val="en-US"/>
        </w:rPr>
        <w:t xml:space="preserve">; </w:t>
      </w:r>
      <w:r w:rsidR="00626153">
        <w:rPr>
          <w:rFonts w:eastAsia="Times New Roman"/>
          <w:lang w:val="en-US"/>
        </w:rPr>
        <w:fldChar w:fldCharType="begin"/>
      </w:r>
      <w:r w:rsidR="00E6458E">
        <w:rPr>
          <w:rFonts w:eastAsia="Times New Roman"/>
          <w:lang w:val="en-US"/>
        </w:rPr>
        <w:instrText xml:space="preserve"> ADDIN ZOTERO_ITEM CSL_CITATION {"citationID":"lHfKKlsb","properties":{"unsorted":false,"formattedCitation":"(Zhang et al., 2022)","plainCitation":"(Zhang et al., 2022)","noteIndex":0},"citationItems":[{"id":14900,"uris":["http://zotero.org/users/local/vwAKDnao/items/N5NDIKRU"],"itemData":{"id":14900,"type":"article-journal","abstract":"Although household air pollution (HAP) is associated with an increased risk of mental disorders, evidence remains scarce for the relationship between HAP and suicidal ideation. A total of 21,381 qualified participants were enrolled on the Henan Rural Cohort Study. HAP information including cooking fuel type, cooking duration and kitchen ventilation was collected by questionnaires. Suicidal ideation was evaluated by item nine of the Patient Health Questionnaire-9 (PHQ-9). Independent and combined associations of cooking fuel type and cooking duration with suicidal ideation were explored by logistic regression models. Analyses were conducted in different kitchen ventilation groups to detect the potential effect modification. The adjusted odds ratio (OR) and 95% confidence interval (95% CI) of solid fuel users versus clean fuel users for suicidal ideation was 1.37 (1.16, 1.62), and the risk of suicidal ideation increased by 15% (95% CI: 5%, 26%) for each additional hour of the cooking duration. Participants cooking with solid fuel for long durations were related to the highest risk of suicidal ideation (OR (95% CI): 1.51 (1.22, 1.87)). However, all these associations were not observed in those cooking with mechanical ventilation. Mechanical ventilation ameliorated relationships between solid fuel use and long-duration cooking with suicidal ideation.","container-title":"Toxics","DOI":"10.3390/toxics10120721","ISSN":"2305-6304","issue":"12","journalAbbreviation":"Toxics","language":"en","page":"721","source":"DOI.org (Crossref)","title":"The Effect of Kitchen Ventilation Modification on Independent and Combined Associations of Cooking Fuel Type and Cooking Duration with Suicidal Ideation: A Cross-Sectional Study","title-short":"The Effect of Kitchen Ventilation Modification on Independent and Combined Associations of Cooking Fuel Type and Cooking Duration with Suicidal Ideation","URL":"https://www.mdpi.com/2305-6304/10/12/721","volume":"10","author":[{"family":"Zhang","given":"Caiyun"},{"family":"Kang","given":"Ning"},{"family":"Hou","given":"Xiaoyu"},{"family":"Chang","given":"Gaohua"},{"family":"Yuchi","given":"Yinghao"},{"family":"Liu","given":"Xiaotian"},{"family":"Huo","given":"Wenqian"},{"family":"Mao","given":"Zhenxing"},{"family":"Hou","given":"Jian"},{"family":"Wang","given":"Chongjian"}],"accessed":{"date-parts":[["2026",8,30]]},"issued":{"date-parts":[["2022",11,24]]}}}],"schema":"https://github.com/citation-style-language/schema/raw/master/csl-citation.json"} </w:instrText>
      </w:r>
      <w:r w:rsidR="00626153">
        <w:rPr>
          <w:rFonts w:eastAsia="Times New Roman"/>
          <w:lang w:val="en-US"/>
        </w:rPr>
        <w:fldChar w:fldCharType="separate"/>
      </w:r>
      <w:r w:rsidR="00E6458E" w:rsidRPr="00E6458E">
        <w:t>(Zhang et al., 2022)</w:t>
      </w:r>
      <w:r w:rsidR="00626153">
        <w:rPr>
          <w:rFonts w:eastAsia="Times New Roman"/>
          <w:lang w:val="en-US"/>
        </w:rPr>
        <w:fldChar w:fldCharType="end"/>
      </w:r>
      <w:r w:rsidRPr="00A82A47">
        <w:rPr>
          <w:rFonts w:eastAsia="Times New Roman"/>
        </w:rPr>
        <w:t>, both of which identify exposure duration, ventilation status, and type of cooking fuel as key determinants of household air pollution-related disease. The analysis also suggested that higher educational attainment may reduce respiratory health risks, possibly because educated households are more aware of cleaner cooking technologies and environmental health risks.</w:t>
      </w:r>
    </w:p>
    <w:p w14:paraId="30A87506" w14:textId="77777777" w:rsidR="00251933" w:rsidRPr="00251933" w:rsidRDefault="00251933" w:rsidP="00251933">
      <w:pPr>
        <w:pStyle w:val="NoSpacing"/>
        <w:jc w:val="both"/>
        <w:rPr>
          <w:rFonts w:ascii="Times New Roman" w:hAnsi="Times New Roman"/>
          <w:bCs/>
          <w:iCs/>
          <w:sz w:val="24"/>
          <w:szCs w:val="24"/>
          <w:lang w:val="en-US"/>
        </w:rPr>
      </w:pPr>
    </w:p>
    <w:p w14:paraId="6953B731" w14:textId="77777777" w:rsidR="00251933" w:rsidRPr="00A04873" w:rsidRDefault="00251933" w:rsidP="00A04873">
      <w:pPr>
        <w:pStyle w:val="Heading2"/>
        <w:spacing w:before="0" w:after="0"/>
        <w:rPr>
          <w:rFonts w:ascii="Times New Roman" w:hAnsi="Times New Roman" w:cs="Times New Roman"/>
          <w:i w:val="0"/>
          <w:iCs w:val="0"/>
          <w:sz w:val="24"/>
          <w:szCs w:val="24"/>
        </w:rPr>
      </w:pPr>
      <w:r w:rsidRPr="00A04873">
        <w:rPr>
          <w:rFonts w:ascii="Times New Roman" w:hAnsi="Times New Roman" w:cs="Times New Roman"/>
          <w:i w:val="0"/>
          <w:iCs w:val="0"/>
          <w:sz w:val="24"/>
          <w:szCs w:val="24"/>
        </w:rPr>
        <w:t>Conclusion</w:t>
      </w:r>
    </w:p>
    <w:p w14:paraId="06C6E3BF" w14:textId="77777777" w:rsidR="007B4B8B" w:rsidRPr="00A04873" w:rsidRDefault="007B4B8B" w:rsidP="00A04873">
      <w:pPr>
        <w:widowControl w:val="0"/>
        <w:tabs>
          <w:tab w:val="left" w:pos="431"/>
        </w:tabs>
        <w:autoSpaceDE w:val="0"/>
        <w:autoSpaceDN w:val="0"/>
        <w:ind w:right="261"/>
        <w:jc w:val="both"/>
        <w:rPr>
          <w:b/>
          <w:bCs/>
          <w:lang w:val="en-GB" w:eastAsia="en-GB"/>
        </w:rPr>
      </w:pPr>
    </w:p>
    <w:p w14:paraId="54CB1B39" w14:textId="20A34988" w:rsidR="003776F6" w:rsidRDefault="003776F6" w:rsidP="003776F6">
      <w:pPr>
        <w:ind w:firstLine="720"/>
        <w:jc w:val="both"/>
        <w:rPr>
          <w:rFonts w:eastAsia="Times New Roman"/>
        </w:rPr>
      </w:pPr>
      <w:r w:rsidRPr="004C6540">
        <w:rPr>
          <w:rFonts w:eastAsia="Times New Roman"/>
        </w:rPr>
        <w:t>Based on the illustrative findings, the study concludes that biomass fuel use remains the principal source of household cooking energy among rural households in Toro Local Government Area. The continued reliance on firewood and other biomass fuels is largely influenced by poverty, limited access to modern energy sources, cultural cooking practices, and inadequate energy infrastructure.</w:t>
      </w:r>
      <w:r>
        <w:rPr>
          <w:rFonts w:eastAsia="Times New Roman"/>
        </w:rPr>
        <w:t xml:space="preserve"> </w:t>
      </w:r>
      <w:r w:rsidRPr="004C6540">
        <w:rPr>
          <w:rFonts w:eastAsia="Times New Roman"/>
        </w:rPr>
        <w:t>The study also indicates that poor kitchen ventilation and indoor cooking practices may increase exposure to household air pollution, thereby contributing to respiratory symptoms among household members. Women and young children appear to be the most vulnerable because of their greater involvement in cooking and longer periods spent near cooking areas.</w:t>
      </w:r>
      <w:r>
        <w:rPr>
          <w:rFonts w:eastAsia="Times New Roman"/>
        </w:rPr>
        <w:t xml:space="preserve"> </w:t>
      </w:r>
      <w:r w:rsidRPr="004C6540">
        <w:rPr>
          <w:rFonts w:eastAsia="Times New Roman"/>
        </w:rPr>
        <w:t>The illustrative statistical analyses suggest significant relationships between biomass fuel use, inadequate ventilation, and respiratory health outcomes. These findings reinforce existing evidence that reducing exposure to biomass smoke through cleaner energy technologies, improved housing design, and public health education may help reduce the burden of respiratory illnesses in rural communities.</w:t>
      </w:r>
      <w:r>
        <w:rPr>
          <w:rFonts w:eastAsia="Times New Roman"/>
        </w:rPr>
        <w:t xml:space="preserve"> </w:t>
      </w:r>
      <w:r w:rsidRPr="004C6540">
        <w:rPr>
          <w:rFonts w:eastAsia="Times New Roman"/>
        </w:rPr>
        <w:t xml:space="preserve">Improving access to affordable clean cooking fuels, promoting improved </w:t>
      </w:r>
      <w:r w:rsidRPr="004C6540">
        <w:rPr>
          <w:rFonts w:eastAsia="Times New Roman"/>
        </w:rPr>
        <w:lastRenderedPageBreak/>
        <w:t>cookstoves, strengthening environmental health education, and supporting rural energy development could contribute to better health outcomes and environmental sustainability in Toro Local Government Area and similar settings.</w:t>
      </w:r>
    </w:p>
    <w:p w14:paraId="3348B468" w14:textId="073DD6FF" w:rsidR="004B161B" w:rsidRDefault="004B161B" w:rsidP="004B161B">
      <w:pPr>
        <w:jc w:val="both"/>
        <w:rPr>
          <w:rFonts w:eastAsia="Times New Roman"/>
        </w:rPr>
      </w:pPr>
    </w:p>
    <w:p w14:paraId="51D57E09" w14:textId="77777777" w:rsidR="000C3C85" w:rsidRDefault="000C3C85" w:rsidP="000C3C85">
      <w:pPr>
        <w:jc w:val="both"/>
        <w:rPr>
          <w:rFonts w:eastAsia="Palatino Linotype"/>
          <w:b/>
          <w:color w:val="000000"/>
        </w:rPr>
      </w:pPr>
      <w:r w:rsidRPr="000C3C85">
        <w:rPr>
          <w:rFonts w:eastAsia="Palatino Linotype"/>
          <w:b/>
          <w:color w:val="000000"/>
        </w:rPr>
        <w:t>Conflict of interest</w:t>
      </w:r>
    </w:p>
    <w:p w14:paraId="3925E527" w14:textId="77777777" w:rsidR="001158A6" w:rsidRPr="000C3C85" w:rsidRDefault="001158A6" w:rsidP="000C3C85">
      <w:pPr>
        <w:jc w:val="both"/>
        <w:rPr>
          <w:rFonts w:eastAsia="Palatino Linotype"/>
          <w:b/>
          <w:color w:val="000000"/>
        </w:rPr>
      </w:pPr>
    </w:p>
    <w:p w14:paraId="1FAF421A" w14:textId="065104E0" w:rsidR="004B2F78" w:rsidRDefault="000C3C85" w:rsidP="001158A6">
      <w:pPr>
        <w:ind w:firstLine="720"/>
        <w:jc w:val="both"/>
        <w:rPr>
          <w:rFonts w:eastAsia="Palatino Linotype"/>
          <w:bCs/>
          <w:color w:val="000000"/>
        </w:rPr>
      </w:pPr>
      <w:r w:rsidRPr="000C3C85">
        <w:rPr>
          <w:rFonts w:eastAsia="Palatino Linotype"/>
          <w:bCs/>
          <w:color w:val="000000"/>
        </w:rPr>
        <w:t>The authors declare no conflict of interest.</w:t>
      </w:r>
    </w:p>
    <w:p w14:paraId="674FC0DA" w14:textId="77777777" w:rsidR="001158A6" w:rsidRDefault="001158A6" w:rsidP="001158A6">
      <w:pPr>
        <w:ind w:firstLine="720"/>
        <w:jc w:val="both"/>
        <w:rPr>
          <w:rFonts w:eastAsia="Palatino Linotype"/>
          <w:bCs/>
          <w:color w:val="000000"/>
        </w:rPr>
      </w:pPr>
    </w:p>
    <w:p w14:paraId="6DAAC7B2" w14:textId="77777777" w:rsidR="001158A6" w:rsidRDefault="001158A6" w:rsidP="001158A6">
      <w:pPr>
        <w:jc w:val="both"/>
        <w:rPr>
          <w:rFonts w:eastAsia="Book Antiqua"/>
          <w:b/>
          <w:bCs/>
          <w:iCs/>
        </w:rPr>
      </w:pPr>
      <w:r w:rsidRPr="00684DD9">
        <w:rPr>
          <w:rFonts w:eastAsia="Book Antiqua"/>
          <w:b/>
          <w:bCs/>
          <w:iCs/>
        </w:rPr>
        <w:t>Author contribution</w:t>
      </w:r>
    </w:p>
    <w:p w14:paraId="4BBBF34C" w14:textId="77777777" w:rsidR="001158A6" w:rsidRDefault="001158A6" w:rsidP="001158A6">
      <w:pPr>
        <w:jc w:val="both"/>
        <w:rPr>
          <w:rFonts w:eastAsia="Book Antiqua"/>
          <w:b/>
          <w:bCs/>
          <w:iCs/>
        </w:rPr>
      </w:pPr>
    </w:p>
    <w:p w14:paraId="0471795D" w14:textId="36D18529" w:rsidR="001158A6" w:rsidRDefault="001158A6" w:rsidP="001158A6">
      <w:pPr>
        <w:pStyle w:val="NormalWeb"/>
        <w:spacing w:before="0" w:beforeAutospacing="0" w:after="0" w:afterAutospacing="0"/>
        <w:ind w:firstLine="720"/>
        <w:jc w:val="both"/>
        <w:rPr>
          <w:rFonts w:ascii="Book Antiqua" w:hAnsi="Book Antiqua"/>
          <w:sz w:val="20"/>
          <w:szCs w:val="20"/>
          <w:lang w:val="id-ID"/>
        </w:rPr>
      </w:pPr>
      <w:bookmarkStart w:id="1" w:name="_Hlk170319846"/>
      <w:r>
        <w:rPr>
          <w:lang w:val="id-ID"/>
        </w:rPr>
        <w:t>U. M. S</w:t>
      </w:r>
      <w:r>
        <w:rPr>
          <w:lang w:val="id-ID"/>
        </w:rPr>
        <w:t xml:space="preserve">: </w:t>
      </w:r>
      <w:r w:rsidRPr="00087F2C">
        <w:rPr>
          <w:lang w:val="id-ID"/>
        </w:rPr>
        <w:t>Conceptualization, methodology, validation</w:t>
      </w:r>
      <w:r>
        <w:t>,</w:t>
      </w:r>
      <w:r w:rsidRPr="00087F2C">
        <w:rPr>
          <w:lang w:val="id-ID"/>
        </w:rPr>
        <w:t xml:space="preserve"> formal analysis, investigation; resources, data curation</w:t>
      </w:r>
      <w:r>
        <w:t xml:space="preserve">, </w:t>
      </w:r>
      <w:r w:rsidRPr="00087F2C">
        <w:rPr>
          <w:lang w:val="id-ID"/>
        </w:rPr>
        <w:t>writing</w:t>
      </w:r>
      <w:r w:rsidRPr="00087F2C">
        <w:t>-</w:t>
      </w:r>
      <w:r w:rsidRPr="00087F2C">
        <w:rPr>
          <w:lang w:val="id-ID"/>
        </w:rPr>
        <w:t>original draft preparation</w:t>
      </w:r>
      <w:r>
        <w:t>,</w:t>
      </w:r>
      <w:r>
        <w:rPr>
          <w:lang w:val="en-US"/>
        </w:rPr>
        <w:t xml:space="preserve"> </w:t>
      </w:r>
      <w:r w:rsidRPr="00087F2C">
        <w:rPr>
          <w:lang w:val="id-ID"/>
        </w:rPr>
        <w:t>writing</w:t>
      </w:r>
      <w:r w:rsidRPr="00087F2C">
        <w:t>-</w:t>
      </w:r>
      <w:r w:rsidRPr="00087F2C">
        <w:rPr>
          <w:lang w:val="id-ID"/>
        </w:rPr>
        <w:t>review and editing, visualization</w:t>
      </w:r>
      <w:r>
        <w:t>.</w:t>
      </w:r>
      <w:r w:rsidRPr="00087F2C">
        <w:t xml:space="preserve"> </w:t>
      </w:r>
    </w:p>
    <w:p w14:paraId="10499498" w14:textId="77777777" w:rsidR="001158A6" w:rsidRPr="00367DD7" w:rsidRDefault="001158A6" w:rsidP="001158A6">
      <w:pPr>
        <w:pStyle w:val="NormalWeb"/>
        <w:jc w:val="both"/>
        <w:rPr>
          <w:b/>
          <w:bCs/>
          <w:lang w:val="id-ID"/>
        </w:rPr>
      </w:pPr>
      <w:r w:rsidRPr="00367DD7">
        <w:rPr>
          <w:b/>
          <w:bCs/>
          <w:lang w:val="id-ID"/>
        </w:rPr>
        <w:t>Declaration of generative AI in scientific writing</w:t>
      </w:r>
    </w:p>
    <w:p w14:paraId="7B31B63F" w14:textId="273A4045" w:rsidR="001158A6" w:rsidRPr="001158A6" w:rsidRDefault="001158A6" w:rsidP="001158A6">
      <w:pPr>
        <w:pStyle w:val="NormalWeb"/>
        <w:spacing w:before="0" w:beforeAutospacing="0" w:after="0" w:afterAutospacing="0"/>
        <w:ind w:firstLine="720"/>
        <w:jc w:val="both"/>
        <w:rPr>
          <w:rFonts w:ascii="Book Antiqua" w:hAnsi="Book Antiqua"/>
          <w:lang w:val="id-ID"/>
        </w:rPr>
      </w:pPr>
      <w:r w:rsidRPr="00367DD7">
        <w:rPr>
          <w:rFonts w:ascii="Book Antiqua" w:hAnsi="Book Antiqua"/>
          <w:lang w:val="id-ID"/>
        </w:rPr>
        <w:t xml:space="preserve">During the preparation of this work, the author(s) used </w:t>
      </w:r>
      <w:r>
        <w:rPr>
          <w:rFonts w:ascii="Book Antiqua" w:hAnsi="Book Antiqua"/>
          <w:lang w:val="id-ID"/>
        </w:rPr>
        <w:t>Grammarly</w:t>
      </w:r>
      <w:r w:rsidRPr="00367DD7">
        <w:rPr>
          <w:rFonts w:ascii="Book Antiqua" w:hAnsi="Book Antiqua"/>
          <w:lang w:val="id-ID"/>
        </w:rPr>
        <w:t xml:space="preserve"> to improve readability and language/brainstorm initial outlines/summarize technical literature. After using this tool/service, the author reviewed and edited the content as needed and takes full responsibility for the content of the publication.</w:t>
      </w:r>
      <w:bookmarkEnd w:id="1"/>
    </w:p>
    <w:p w14:paraId="1047B6AE" w14:textId="77777777" w:rsidR="000C3C85" w:rsidRDefault="000C3C85" w:rsidP="000C3C85">
      <w:pPr>
        <w:widowControl w:val="0"/>
        <w:autoSpaceDE w:val="0"/>
        <w:autoSpaceDN w:val="0"/>
        <w:adjustRightInd w:val="0"/>
        <w:jc w:val="both"/>
        <w:rPr>
          <w:rFonts w:eastAsia="Times New Roman"/>
          <w:b/>
          <w:bCs/>
          <w:lang w:eastAsia="en-GB"/>
        </w:rPr>
      </w:pPr>
    </w:p>
    <w:p w14:paraId="208EFF6E" w14:textId="77777777" w:rsidR="00D05791" w:rsidRDefault="000C3C85" w:rsidP="000C3C85">
      <w:pPr>
        <w:widowControl w:val="0"/>
        <w:autoSpaceDE w:val="0"/>
        <w:autoSpaceDN w:val="0"/>
        <w:adjustRightInd w:val="0"/>
        <w:jc w:val="both"/>
        <w:rPr>
          <w:rFonts w:eastAsia="Times New Roman"/>
          <w:b/>
          <w:bCs/>
          <w:lang w:eastAsia="en-GB"/>
        </w:rPr>
      </w:pPr>
      <w:r w:rsidRPr="000C3C85">
        <w:rPr>
          <w:rFonts w:eastAsia="Times New Roman"/>
          <w:b/>
          <w:bCs/>
          <w:lang w:eastAsia="en-GB"/>
        </w:rPr>
        <w:t>Reference</w:t>
      </w:r>
    </w:p>
    <w:p w14:paraId="71E24543" w14:textId="67C055EA" w:rsidR="00177D6D" w:rsidRDefault="00177D6D" w:rsidP="000C3C85">
      <w:pPr>
        <w:widowControl w:val="0"/>
        <w:autoSpaceDE w:val="0"/>
        <w:autoSpaceDN w:val="0"/>
        <w:adjustRightInd w:val="0"/>
        <w:jc w:val="both"/>
        <w:rPr>
          <w:rFonts w:eastAsia="Times New Roman"/>
          <w:b/>
          <w:bCs/>
          <w:lang w:eastAsia="en-GB"/>
        </w:rPr>
      </w:pPr>
    </w:p>
    <w:p w14:paraId="0815C38D" w14:textId="77777777" w:rsidR="00E6458E" w:rsidRPr="00E6458E" w:rsidRDefault="00245F4C" w:rsidP="00E6458E">
      <w:pPr>
        <w:pStyle w:val="Bibliography"/>
        <w:spacing w:line="240" w:lineRule="auto"/>
        <w:jc w:val="both"/>
      </w:pPr>
      <w:r>
        <w:rPr>
          <w:rFonts w:eastAsia="Times New Roman"/>
          <w:b/>
          <w:bCs/>
          <w:lang w:eastAsia="en-GB"/>
        </w:rPr>
        <w:fldChar w:fldCharType="begin"/>
      </w:r>
      <w:r w:rsidR="00E6458E">
        <w:rPr>
          <w:rFonts w:eastAsia="Times New Roman"/>
          <w:b/>
          <w:bCs/>
          <w:lang w:eastAsia="en-GB"/>
        </w:rPr>
        <w:instrText xml:space="preserve"> ADDIN ZOTERO_BIBL {"uncited":[],"omitted":[],"custom":[]} CSL_BIBLIOGRAPHY </w:instrText>
      </w:r>
      <w:r>
        <w:rPr>
          <w:rFonts w:eastAsia="Times New Roman"/>
          <w:b/>
          <w:bCs/>
          <w:lang w:eastAsia="en-GB"/>
        </w:rPr>
        <w:fldChar w:fldCharType="separate"/>
      </w:r>
      <w:r w:rsidR="00E6458E" w:rsidRPr="00E6458E">
        <w:t xml:space="preserve">Abah, E., Garkuwa, U. A., &amp; Ejeh, S. (2026). Parental knowledge, attitudes, and sociocultural determinants of childhood immunization uptake in Azare, Bauchi state, Nigeria: A cross-sectional study. </w:t>
      </w:r>
      <w:r w:rsidR="00E6458E" w:rsidRPr="00E6458E">
        <w:rPr>
          <w:i/>
          <w:iCs/>
        </w:rPr>
        <w:t>Discover Health Systems</w:t>
      </w:r>
      <w:r w:rsidR="00E6458E" w:rsidRPr="00E6458E">
        <w:t xml:space="preserve">, </w:t>
      </w:r>
      <w:r w:rsidR="00E6458E" w:rsidRPr="00E6458E">
        <w:rPr>
          <w:i/>
          <w:iCs/>
        </w:rPr>
        <w:t>5</w:t>
      </w:r>
      <w:r w:rsidR="00E6458E" w:rsidRPr="00E6458E">
        <w:t>(1), 36. https://doi.org/10.1007/s44250-026-00379-y</w:t>
      </w:r>
    </w:p>
    <w:p w14:paraId="45FBA495" w14:textId="6DEF9189" w:rsidR="00E6458E" w:rsidRPr="00E6458E" w:rsidRDefault="00E6458E" w:rsidP="00E6458E">
      <w:pPr>
        <w:pStyle w:val="Bibliography"/>
        <w:spacing w:line="240" w:lineRule="auto"/>
        <w:jc w:val="both"/>
      </w:pPr>
      <w:r w:rsidRPr="00E6458E">
        <w:t xml:space="preserve">Alalaq, A. S. (2026). Artificial Intelligence in Research Translation in Higher Education: Applied Potentials for University Students. </w:t>
      </w:r>
      <w:r w:rsidRPr="00E6458E">
        <w:rPr>
          <w:i/>
          <w:iCs/>
        </w:rPr>
        <w:t>J</w:t>
      </w:r>
      <w:r w:rsidR="001158A6" w:rsidRPr="00E6458E">
        <w:rPr>
          <w:i/>
          <w:iCs/>
        </w:rPr>
        <w:t>ournal Of Digital Learning And Distance Education</w:t>
      </w:r>
      <w:r w:rsidRPr="00E6458E">
        <w:t xml:space="preserve">, </w:t>
      </w:r>
      <w:r w:rsidRPr="00E6458E">
        <w:rPr>
          <w:i/>
          <w:iCs/>
        </w:rPr>
        <w:t>4</w:t>
      </w:r>
      <w:r w:rsidRPr="00E6458E">
        <w:t>(8), 1835–1844. https://doi.org/10.56778/jdlde.v4i8.637</w:t>
      </w:r>
    </w:p>
    <w:p w14:paraId="61E5AFFC" w14:textId="77777777" w:rsidR="00E6458E" w:rsidRPr="00E6458E" w:rsidRDefault="00E6458E" w:rsidP="00E6458E">
      <w:pPr>
        <w:pStyle w:val="Bibliography"/>
        <w:spacing w:line="240" w:lineRule="auto"/>
        <w:jc w:val="both"/>
      </w:pPr>
      <w:r w:rsidRPr="00E6458E">
        <w:t xml:space="preserve">Balume, B. S., Bijnens, L., Abrams, S., Banza, B. B., &amp; Deferme, W. (2025). Charcoal and firewood use in urban areas of developing countries: Drivers, consequences, and the need for clean cooking solutions. </w:t>
      </w:r>
      <w:r w:rsidRPr="00E6458E">
        <w:rPr>
          <w:i/>
          <w:iCs/>
        </w:rPr>
        <w:t>Renewable and Sustainable Energy Reviews</w:t>
      </w:r>
      <w:r w:rsidRPr="00E6458E">
        <w:t xml:space="preserve">, </w:t>
      </w:r>
      <w:r w:rsidRPr="00E6458E">
        <w:rPr>
          <w:i/>
          <w:iCs/>
        </w:rPr>
        <w:t>217</w:t>
      </w:r>
      <w:r w:rsidRPr="00E6458E">
        <w:t>, 115745. https://doi.org/10.1016/j.rser.2025.115745</w:t>
      </w:r>
    </w:p>
    <w:p w14:paraId="439D37CE" w14:textId="77777777" w:rsidR="00E6458E" w:rsidRPr="00E6458E" w:rsidRDefault="00E6458E" w:rsidP="00E6458E">
      <w:pPr>
        <w:pStyle w:val="Bibliography"/>
        <w:spacing w:line="240" w:lineRule="auto"/>
        <w:jc w:val="both"/>
      </w:pPr>
      <w:r w:rsidRPr="00E6458E">
        <w:t xml:space="preserve">Barrow, A., Oyareme, V., &amp; Kuye, R. A. (2026). Air pollution, health system capacity, and non-communicable disease mortality in West Africa: A mediation analysis of the environmental health-healthcare financing nexus. </w:t>
      </w:r>
      <w:r w:rsidRPr="00E6458E">
        <w:rPr>
          <w:i/>
          <w:iCs/>
        </w:rPr>
        <w:t>Discover Public Health</w:t>
      </w:r>
      <w:r w:rsidRPr="00E6458E">
        <w:t xml:space="preserve">, </w:t>
      </w:r>
      <w:r w:rsidRPr="00E6458E">
        <w:rPr>
          <w:i/>
          <w:iCs/>
        </w:rPr>
        <w:t>23</w:t>
      </w:r>
      <w:r w:rsidRPr="00E6458E">
        <w:t>(1), 660. https://doi.org/10.1186/s12982-026-01999-8</w:t>
      </w:r>
    </w:p>
    <w:p w14:paraId="0172AAD6" w14:textId="77777777" w:rsidR="00E6458E" w:rsidRPr="00E6458E" w:rsidRDefault="00E6458E" w:rsidP="00E6458E">
      <w:pPr>
        <w:pStyle w:val="Bibliography"/>
        <w:spacing w:line="240" w:lineRule="auto"/>
        <w:jc w:val="both"/>
      </w:pPr>
      <w:r w:rsidRPr="00E6458E">
        <w:t xml:space="preserve">Chen, C.-Y., Shih, C.-L., Kuo, Y.-C., &amp; Tsai, P.-J. (2026). Emissions of Polycyclic Aromatic Hydrocarbons (PAHs) from the Use of Scented Candles Under Different Environmental Conditions. </w:t>
      </w:r>
      <w:r w:rsidRPr="00E6458E">
        <w:rPr>
          <w:i/>
          <w:iCs/>
        </w:rPr>
        <w:t>Toxics</w:t>
      </w:r>
      <w:r w:rsidRPr="00E6458E">
        <w:t xml:space="preserve">, </w:t>
      </w:r>
      <w:r w:rsidRPr="00E6458E">
        <w:rPr>
          <w:i/>
          <w:iCs/>
        </w:rPr>
        <w:t>14</w:t>
      </w:r>
      <w:r w:rsidRPr="00E6458E">
        <w:t>(7), 565. https://doi.org/10.3390/toxics14070565</w:t>
      </w:r>
    </w:p>
    <w:p w14:paraId="271094C8" w14:textId="77777777" w:rsidR="00E6458E" w:rsidRPr="00E6458E" w:rsidRDefault="00E6458E" w:rsidP="00E6458E">
      <w:pPr>
        <w:pStyle w:val="Bibliography"/>
        <w:spacing w:line="240" w:lineRule="auto"/>
        <w:jc w:val="both"/>
      </w:pPr>
      <w:r w:rsidRPr="00E6458E">
        <w:t xml:space="preserve">Desye, B., Geto, A. K., Daba, C., Berihun, G., &amp; Berhanu, L. (2025). Indoor air pollution exposure and acute respiratory infection among under-five children in low- and middle-income countries: A systematic review and meta-analysis of epidemiological studies. </w:t>
      </w:r>
      <w:r w:rsidRPr="00E6458E">
        <w:rPr>
          <w:i/>
          <w:iCs/>
        </w:rPr>
        <w:t>BMC Infectious Diseases</w:t>
      </w:r>
      <w:r w:rsidRPr="00E6458E">
        <w:t xml:space="preserve">, </w:t>
      </w:r>
      <w:r w:rsidRPr="00E6458E">
        <w:rPr>
          <w:i/>
          <w:iCs/>
        </w:rPr>
        <w:t>25</w:t>
      </w:r>
      <w:r w:rsidRPr="00E6458E">
        <w:t>(1), 1808. https://doi.org/10.1186/s12879-025-12148-y</w:t>
      </w:r>
    </w:p>
    <w:p w14:paraId="4228899C" w14:textId="77777777" w:rsidR="00E6458E" w:rsidRPr="00E6458E" w:rsidRDefault="00E6458E" w:rsidP="00E6458E">
      <w:pPr>
        <w:pStyle w:val="Bibliography"/>
        <w:spacing w:line="240" w:lineRule="auto"/>
        <w:jc w:val="both"/>
      </w:pPr>
      <w:r w:rsidRPr="00E6458E">
        <w:t xml:space="preserve">Dhital, S., Rupakheti, D., Rupakheti, M., Yin, X., Liu, Y., Mafiana, J. J., Alareqi, M. M., Mohamednour, H., &amp; Zhang, B. (2022a). A scientometric analysis of indoor air pollution </w:t>
      </w:r>
      <w:r w:rsidRPr="00E6458E">
        <w:lastRenderedPageBreak/>
        <w:t xml:space="preserve">research during 1990–2019. </w:t>
      </w:r>
      <w:r w:rsidRPr="00E6458E">
        <w:rPr>
          <w:i/>
          <w:iCs/>
        </w:rPr>
        <w:t>Journal of Environmental Management</w:t>
      </w:r>
      <w:r w:rsidRPr="00E6458E">
        <w:t xml:space="preserve">, </w:t>
      </w:r>
      <w:r w:rsidRPr="00E6458E">
        <w:rPr>
          <w:i/>
          <w:iCs/>
        </w:rPr>
        <w:t>320</w:t>
      </w:r>
      <w:r w:rsidRPr="00E6458E">
        <w:t>, 115736. https://doi.org/10.1016/j.jenvman.2022.115736</w:t>
      </w:r>
    </w:p>
    <w:p w14:paraId="2833F98E" w14:textId="77777777" w:rsidR="00E6458E" w:rsidRPr="00E6458E" w:rsidRDefault="00E6458E" w:rsidP="00E6458E">
      <w:pPr>
        <w:pStyle w:val="Bibliography"/>
        <w:spacing w:line="240" w:lineRule="auto"/>
        <w:jc w:val="both"/>
      </w:pPr>
      <w:r w:rsidRPr="00E6458E">
        <w:t xml:space="preserve">Dhital, S., Rupakheti, D., Rupakheti, M., Yin, X., Liu, Y., Mafiana, J. J., Alareqi, M. M., Mohamednour, H., &amp; Zhang, B. (2022b). A scientometric analysis of indoor air pollution research during 1990–2019. </w:t>
      </w:r>
      <w:r w:rsidRPr="00E6458E">
        <w:rPr>
          <w:i/>
          <w:iCs/>
        </w:rPr>
        <w:t>Journal of Environmental Management</w:t>
      </w:r>
      <w:r w:rsidRPr="00E6458E">
        <w:t xml:space="preserve">, </w:t>
      </w:r>
      <w:r w:rsidRPr="00E6458E">
        <w:rPr>
          <w:i/>
          <w:iCs/>
        </w:rPr>
        <w:t>320</w:t>
      </w:r>
      <w:r w:rsidRPr="00E6458E">
        <w:t>, 115736. https://doi.org/10.1016/j.jenvman.2022.115736</w:t>
      </w:r>
    </w:p>
    <w:p w14:paraId="6CF99081" w14:textId="77777777" w:rsidR="00E6458E" w:rsidRPr="00E6458E" w:rsidRDefault="00E6458E" w:rsidP="00E6458E">
      <w:pPr>
        <w:pStyle w:val="Bibliography"/>
        <w:spacing w:line="240" w:lineRule="auto"/>
        <w:jc w:val="both"/>
      </w:pPr>
      <w:r w:rsidRPr="00E6458E">
        <w:t xml:space="preserve">Downward, G. S., Van Der Zwaag, H. P., Simons, L., Meliefste, K., Tefera, Y., Carreon, J. R., Vermeulen, R., &amp; Smit, L. A. M. (2018). Occupational exposure to indoor air pollution among bakery workers in Ethiopia; A comparison of electric and biomass cookstoves. </w:t>
      </w:r>
      <w:r w:rsidRPr="00E6458E">
        <w:rPr>
          <w:i/>
          <w:iCs/>
        </w:rPr>
        <w:t>Environmental Pollution</w:t>
      </w:r>
      <w:r w:rsidRPr="00E6458E">
        <w:t xml:space="preserve">, </w:t>
      </w:r>
      <w:r w:rsidRPr="00E6458E">
        <w:rPr>
          <w:i/>
          <w:iCs/>
        </w:rPr>
        <w:t>233</w:t>
      </w:r>
      <w:r w:rsidRPr="00E6458E">
        <w:t>, 690–697. https://doi.org/10.1016/j.envpol.2017.10.094</w:t>
      </w:r>
    </w:p>
    <w:p w14:paraId="3D298F7D" w14:textId="77777777" w:rsidR="00E6458E" w:rsidRPr="00E6458E" w:rsidRDefault="00E6458E" w:rsidP="00E6458E">
      <w:pPr>
        <w:pStyle w:val="Bibliography"/>
        <w:spacing w:line="240" w:lineRule="auto"/>
        <w:jc w:val="both"/>
      </w:pPr>
      <w:r w:rsidRPr="00E6458E">
        <w:t xml:space="preserve">Enyew, H. D., Hailu, A. B., &amp; Mereta, S. T. (2023). Kitchen fine particulate matter (PM2.5) concentrations from biomass fuel use in rural households of Northwest Ethiopia. </w:t>
      </w:r>
      <w:r w:rsidRPr="00E6458E">
        <w:rPr>
          <w:i/>
          <w:iCs/>
        </w:rPr>
        <w:t>Frontiers in Public Health</w:t>
      </w:r>
      <w:r w:rsidRPr="00E6458E">
        <w:t xml:space="preserve">, </w:t>
      </w:r>
      <w:r w:rsidRPr="00E6458E">
        <w:rPr>
          <w:i/>
          <w:iCs/>
        </w:rPr>
        <w:t>11</w:t>
      </w:r>
      <w:r w:rsidRPr="00E6458E">
        <w:t>, 1241977. https://doi.org/10.3389/fpubh.2023.1241977</w:t>
      </w:r>
    </w:p>
    <w:p w14:paraId="7E72742A" w14:textId="77777777" w:rsidR="00E6458E" w:rsidRPr="00E6458E" w:rsidRDefault="00E6458E" w:rsidP="00E6458E">
      <w:pPr>
        <w:pStyle w:val="Bibliography"/>
        <w:spacing w:line="240" w:lineRule="auto"/>
        <w:jc w:val="both"/>
      </w:pPr>
      <w:r w:rsidRPr="00E6458E">
        <w:t xml:space="preserve">Gitau, J. K., Sundberg, C., Mendum, R., &amp; Njenga, M. (2025). Comparative Assessment of Gasifier Cookstove Performance on Smallholder Farms in Three Regions in Kenya. </w:t>
      </w:r>
      <w:r w:rsidRPr="00E6458E">
        <w:rPr>
          <w:i/>
          <w:iCs/>
        </w:rPr>
        <w:t>Sustainability</w:t>
      </w:r>
      <w:r w:rsidRPr="00E6458E">
        <w:t xml:space="preserve">, </w:t>
      </w:r>
      <w:r w:rsidRPr="00E6458E">
        <w:rPr>
          <w:i/>
          <w:iCs/>
        </w:rPr>
        <w:t>17</w:t>
      </w:r>
      <w:r w:rsidRPr="00E6458E">
        <w:t>(13), 5872. https://doi.org/10.3390/su17135872</w:t>
      </w:r>
    </w:p>
    <w:p w14:paraId="07DF7396" w14:textId="77777777" w:rsidR="00E6458E" w:rsidRPr="00E6458E" w:rsidRDefault="00E6458E" w:rsidP="00E6458E">
      <w:pPr>
        <w:pStyle w:val="Bibliography"/>
        <w:spacing w:line="240" w:lineRule="auto"/>
        <w:jc w:val="both"/>
      </w:pPr>
      <w:r w:rsidRPr="00E6458E">
        <w:t xml:space="preserve">Katoto, P. D. M. C., Murhula, A., Kayembe-Kitenge, T., Lawin, H., Bisimwa, B. C., Cirhambiza, J. P., Musafiri, E., Birembano, F., Kashongwe, Z., Kirenga, B., Mfinanga, S., Mortimer, K., De Boever, P., Nawrot, T. S., Nachega, J. B., &amp; Nemery, B. (2018). Household Air Pollution Is Associated with Chronic Cough but Not Hemoptysis after Completion of Pulmonary Tuberculosis Treatment in Adults, Rural Eastern Democratic Republic of Congo. </w:t>
      </w:r>
      <w:r w:rsidRPr="00E6458E">
        <w:rPr>
          <w:i/>
          <w:iCs/>
        </w:rPr>
        <w:t>International Journal of Environmental Research and Public Health</w:t>
      </w:r>
      <w:r w:rsidRPr="00E6458E">
        <w:t xml:space="preserve">, </w:t>
      </w:r>
      <w:r w:rsidRPr="00E6458E">
        <w:rPr>
          <w:i/>
          <w:iCs/>
        </w:rPr>
        <w:t>15</w:t>
      </w:r>
      <w:r w:rsidRPr="00E6458E">
        <w:t>(11), 2563. https://doi.org/10.3390/ijerph15112563</w:t>
      </w:r>
    </w:p>
    <w:p w14:paraId="2261EC94" w14:textId="77777777" w:rsidR="00E6458E" w:rsidRPr="00E6458E" w:rsidRDefault="00E6458E" w:rsidP="00E6458E">
      <w:pPr>
        <w:pStyle w:val="Bibliography"/>
        <w:spacing w:line="240" w:lineRule="auto"/>
        <w:jc w:val="both"/>
      </w:pPr>
      <w:r w:rsidRPr="00E6458E">
        <w:t xml:space="preserve">Kingham, S., Briggs, D., Elliott, P., Fischer, P., &amp; Erik Lebret. (2000). Spatial variations in the concentrations of traffic-related pollutants in indoor and outdoor air in Huddersfield, England. </w:t>
      </w:r>
      <w:r w:rsidRPr="00E6458E">
        <w:rPr>
          <w:i/>
          <w:iCs/>
        </w:rPr>
        <w:t>Atmospheric Environment</w:t>
      </w:r>
      <w:r w:rsidRPr="00E6458E">
        <w:t xml:space="preserve">, </w:t>
      </w:r>
      <w:r w:rsidRPr="00E6458E">
        <w:rPr>
          <w:i/>
          <w:iCs/>
        </w:rPr>
        <w:t>34</w:t>
      </w:r>
      <w:r w:rsidRPr="00E6458E">
        <w:t>(6), 905–916. https://doi.org/10.1016/S1352-2310(99)00321-0</w:t>
      </w:r>
    </w:p>
    <w:p w14:paraId="21BDAE41" w14:textId="77777777" w:rsidR="00E6458E" w:rsidRPr="00E6458E" w:rsidRDefault="00E6458E" w:rsidP="00E6458E">
      <w:pPr>
        <w:pStyle w:val="Bibliography"/>
        <w:spacing w:line="240" w:lineRule="auto"/>
        <w:jc w:val="both"/>
      </w:pPr>
      <w:r w:rsidRPr="00E6458E">
        <w:t xml:space="preserve">Kotzias, D. (2022). Exposure to volatile organic compounds in indoor/outdoor environments and methodological approaches for exposure estimates -the European paradigm. </w:t>
      </w:r>
      <w:r w:rsidRPr="00E6458E">
        <w:rPr>
          <w:i/>
          <w:iCs/>
        </w:rPr>
        <w:t>Journal of Hazardous Materials Advances</w:t>
      </w:r>
      <w:r w:rsidRPr="00E6458E">
        <w:t xml:space="preserve">, </w:t>
      </w:r>
      <w:r w:rsidRPr="00E6458E">
        <w:rPr>
          <w:i/>
          <w:iCs/>
        </w:rPr>
        <w:t>8</w:t>
      </w:r>
      <w:r w:rsidRPr="00E6458E">
        <w:t>, 100197. https://doi.org/10.1016/j.hazadv.2022.100197</w:t>
      </w:r>
    </w:p>
    <w:p w14:paraId="04D2A7D8" w14:textId="77777777" w:rsidR="00E6458E" w:rsidRPr="00E6458E" w:rsidRDefault="00E6458E" w:rsidP="00E6458E">
      <w:pPr>
        <w:pStyle w:val="Bibliography"/>
        <w:spacing w:line="240" w:lineRule="auto"/>
        <w:jc w:val="both"/>
      </w:pPr>
      <w:r w:rsidRPr="00E6458E">
        <w:t xml:space="preserve">Lartey, D. L., Boafo, Y. A., Owusu, E. H., &amp; Akrofi, M. M. (2025). Urban and rural households’ awareness and willingness to adopt biomass briquettes in Ghana. </w:t>
      </w:r>
      <w:r w:rsidRPr="00E6458E">
        <w:rPr>
          <w:i/>
          <w:iCs/>
        </w:rPr>
        <w:t>Discover Sustainability</w:t>
      </w:r>
      <w:r w:rsidRPr="00E6458E">
        <w:t xml:space="preserve">, </w:t>
      </w:r>
      <w:r w:rsidRPr="00E6458E">
        <w:rPr>
          <w:i/>
          <w:iCs/>
        </w:rPr>
        <w:t>6</w:t>
      </w:r>
      <w:r w:rsidRPr="00E6458E">
        <w:t>(1), 1034. https://doi.org/10.1007/s43621-025-01853-y</w:t>
      </w:r>
    </w:p>
    <w:p w14:paraId="207DADBC" w14:textId="77777777" w:rsidR="00E6458E" w:rsidRPr="00E6458E" w:rsidRDefault="00E6458E" w:rsidP="00E6458E">
      <w:pPr>
        <w:pStyle w:val="Bibliography"/>
        <w:spacing w:line="240" w:lineRule="auto"/>
        <w:jc w:val="both"/>
      </w:pPr>
      <w:r w:rsidRPr="00E6458E">
        <w:t xml:space="preserve">Liu, Q., Li, D., Xu, Z., Wang, Y., &amp; Liu, J. (2025). Disparities in global disease burden attributed to ambient particulate matter pollution and household air pollution from solid fuels. </w:t>
      </w:r>
      <w:r w:rsidRPr="00E6458E">
        <w:rPr>
          <w:i/>
          <w:iCs/>
        </w:rPr>
        <w:t>Ecotoxicology and Environmental Safety</w:t>
      </w:r>
      <w:r w:rsidRPr="00E6458E">
        <w:t xml:space="preserve">, </w:t>
      </w:r>
      <w:r w:rsidRPr="00E6458E">
        <w:rPr>
          <w:i/>
          <w:iCs/>
        </w:rPr>
        <w:t>291</w:t>
      </w:r>
      <w:r w:rsidRPr="00E6458E">
        <w:t>, 117908. https://doi.org/10.1016/j.ecoenv.2025.117908</w:t>
      </w:r>
    </w:p>
    <w:p w14:paraId="107EDBD8" w14:textId="77777777" w:rsidR="00E6458E" w:rsidRPr="00E6458E" w:rsidRDefault="00E6458E" w:rsidP="00E6458E">
      <w:pPr>
        <w:pStyle w:val="Bibliography"/>
        <w:spacing w:line="240" w:lineRule="auto"/>
        <w:jc w:val="both"/>
      </w:pPr>
      <w:r w:rsidRPr="00E6458E">
        <w:t xml:space="preserve">Lovrić, M., Račić, N., Pehnec, G., Horvat, T., Lovrić Štefiček, M. J., &amp; Jakovljević, I. (2024). Indoor Polycyclic Aromatic Hydrocarbons—Relationship to Ambient Air, Risk Estimation, and Source Apportionment Based on Household Measurements. </w:t>
      </w:r>
      <w:r w:rsidRPr="00E6458E">
        <w:rPr>
          <w:i/>
          <w:iCs/>
        </w:rPr>
        <w:t>Atmosphere</w:t>
      </w:r>
      <w:r w:rsidRPr="00E6458E">
        <w:t xml:space="preserve">, </w:t>
      </w:r>
      <w:r w:rsidRPr="00E6458E">
        <w:rPr>
          <w:i/>
          <w:iCs/>
        </w:rPr>
        <w:t>15</w:t>
      </w:r>
      <w:r w:rsidRPr="00E6458E">
        <w:t>(12), 1525. https://doi.org/10.3390/atmos15121525</w:t>
      </w:r>
    </w:p>
    <w:p w14:paraId="6DC49913" w14:textId="77777777" w:rsidR="00E6458E" w:rsidRPr="00E6458E" w:rsidRDefault="00E6458E" w:rsidP="00E6458E">
      <w:pPr>
        <w:pStyle w:val="Bibliography"/>
        <w:spacing w:line="240" w:lineRule="auto"/>
        <w:jc w:val="both"/>
      </w:pPr>
      <w:r w:rsidRPr="00E6458E">
        <w:t xml:space="preserve">Muhammad, M., Suleiman, W., Mamun, M. A. A., Jewel, R. M., &amp; Mozumder, M. A. S. (2025). Mediating effect of appraisal fairness between the relationship of appraisal satisfaction and employee performance appraisal: A case of Bauchi State Teachers Service Commission, Nigeria. </w:t>
      </w:r>
      <w:r w:rsidRPr="00E6458E">
        <w:rPr>
          <w:i/>
          <w:iCs/>
        </w:rPr>
        <w:t>Cogent Business &amp; Management</w:t>
      </w:r>
      <w:r w:rsidRPr="00E6458E">
        <w:t xml:space="preserve">, </w:t>
      </w:r>
      <w:r w:rsidRPr="00E6458E">
        <w:rPr>
          <w:i/>
          <w:iCs/>
        </w:rPr>
        <w:t>12</w:t>
      </w:r>
      <w:r w:rsidRPr="00E6458E">
        <w:t>(1), 2450297. https://doi.org/10.1080/23311975.2025.2450297</w:t>
      </w:r>
    </w:p>
    <w:p w14:paraId="2A31632B" w14:textId="77777777" w:rsidR="00E6458E" w:rsidRPr="00E6458E" w:rsidRDefault="00E6458E" w:rsidP="00E6458E">
      <w:pPr>
        <w:pStyle w:val="Bibliography"/>
        <w:spacing w:line="240" w:lineRule="auto"/>
        <w:jc w:val="both"/>
      </w:pPr>
      <w:r w:rsidRPr="00E6458E">
        <w:t xml:space="preserve">Mukhopadhyay, R., Sambandam, S., Pillarisetti, A., Jack, D., Mukhopadhyay, K., Balakrishnan, K., Vaswani, M., Bates, M. N., Kinney, PatrickL., Arora, N., &amp; Smith, KirkR. (2012). Cooking practices, air quality, and the acceptability of advanced cookstoves in Haryana, </w:t>
      </w:r>
      <w:r w:rsidRPr="00E6458E">
        <w:lastRenderedPageBreak/>
        <w:t xml:space="preserve">India: An exploratory study to inform large-scale interventions. </w:t>
      </w:r>
      <w:r w:rsidRPr="00E6458E">
        <w:rPr>
          <w:i/>
          <w:iCs/>
        </w:rPr>
        <w:t>Global Health Action</w:t>
      </w:r>
      <w:r w:rsidRPr="00E6458E">
        <w:t xml:space="preserve">, </w:t>
      </w:r>
      <w:r w:rsidRPr="00E6458E">
        <w:rPr>
          <w:i/>
          <w:iCs/>
        </w:rPr>
        <w:t>5</w:t>
      </w:r>
      <w:r w:rsidRPr="00E6458E">
        <w:t>(1), 19016. https://doi.org/10.3402/gha.v5i0.19016</w:t>
      </w:r>
    </w:p>
    <w:p w14:paraId="43B62670" w14:textId="77777777" w:rsidR="00E6458E" w:rsidRPr="00E6458E" w:rsidRDefault="00E6458E" w:rsidP="00E6458E">
      <w:pPr>
        <w:pStyle w:val="Bibliography"/>
        <w:spacing w:line="240" w:lineRule="auto"/>
        <w:jc w:val="both"/>
      </w:pPr>
      <w:r w:rsidRPr="00E6458E">
        <w:t xml:space="preserve">Muteti-Fana, S., Nkosana, J., &amp; Naidoo, R. N. (2023). Kitchen Characteristics and Practices Associated with Increased PM2.5 Concentration Levels in Zimbabwean Rural Households. </w:t>
      </w:r>
      <w:r w:rsidRPr="00E6458E">
        <w:rPr>
          <w:i/>
          <w:iCs/>
        </w:rPr>
        <w:t>International Journal of Environmental Research and Public Health</w:t>
      </w:r>
      <w:r w:rsidRPr="00E6458E">
        <w:t xml:space="preserve">, </w:t>
      </w:r>
      <w:r w:rsidRPr="00E6458E">
        <w:rPr>
          <w:i/>
          <w:iCs/>
        </w:rPr>
        <w:t>20</w:t>
      </w:r>
      <w:r w:rsidRPr="00E6458E">
        <w:t>(10), 5811. https://doi.org/10.3390/ijerph20105811</w:t>
      </w:r>
    </w:p>
    <w:p w14:paraId="3DED6AE8" w14:textId="77777777" w:rsidR="00E6458E" w:rsidRPr="00E6458E" w:rsidRDefault="00E6458E" w:rsidP="00E6458E">
      <w:pPr>
        <w:pStyle w:val="Bibliography"/>
        <w:spacing w:line="240" w:lineRule="auto"/>
        <w:jc w:val="both"/>
      </w:pPr>
      <w:r w:rsidRPr="00E6458E">
        <w:t xml:space="preserve">Ndlovu, N., Akah, R. T., Enoh, J. E., &amp; Nkeh-Chungag, B. N. (2025). Impact of indoor air pollution on maternal cardio-respiratory health and childbirth outcomes: Systematic review. </w:t>
      </w:r>
      <w:r w:rsidRPr="00E6458E">
        <w:rPr>
          <w:i/>
          <w:iCs/>
        </w:rPr>
        <w:t>Critical Public Health</w:t>
      </w:r>
      <w:r w:rsidRPr="00E6458E">
        <w:t xml:space="preserve">, </w:t>
      </w:r>
      <w:r w:rsidRPr="00E6458E">
        <w:rPr>
          <w:i/>
          <w:iCs/>
        </w:rPr>
        <w:t>35</w:t>
      </w:r>
      <w:r w:rsidRPr="00E6458E">
        <w:t>(1), 2580755. https://doi.org/10.1080/09581596.2025.2580755</w:t>
      </w:r>
    </w:p>
    <w:p w14:paraId="582B266A" w14:textId="77777777" w:rsidR="00E6458E" w:rsidRPr="00E6458E" w:rsidRDefault="00E6458E" w:rsidP="00E6458E">
      <w:pPr>
        <w:pStyle w:val="Bibliography"/>
        <w:spacing w:line="240" w:lineRule="auto"/>
        <w:jc w:val="both"/>
      </w:pPr>
      <w:r w:rsidRPr="00E6458E">
        <w:t xml:space="preserve">Nie, T., Zhang, G., Sun, Y., Wang, W., Wang, T., &amp; Duan, H. (2025). Effects of Indoor Air Quality on Human Physiological Impact: A Review. </w:t>
      </w:r>
      <w:r w:rsidRPr="00E6458E">
        <w:rPr>
          <w:i/>
          <w:iCs/>
        </w:rPr>
        <w:t>Buildings</w:t>
      </w:r>
      <w:r w:rsidRPr="00E6458E">
        <w:t xml:space="preserve">, </w:t>
      </w:r>
      <w:r w:rsidRPr="00E6458E">
        <w:rPr>
          <w:i/>
          <w:iCs/>
        </w:rPr>
        <w:t>15</w:t>
      </w:r>
      <w:r w:rsidRPr="00E6458E">
        <w:t>(8), 1296. https://doi.org/10.3390/buildings15081296</w:t>
      </w:r>
    </w:p>
    <w:p w14:paraId="0A6D8C13" w14:textId="77777777" w:rsidR="00E6458E" w:rsidRPr="00E6458E" w:rsidRDefault="00E6458E" w:rsidP="00E6458E">
      <w:pPr>
        <w:pStyle w:val="Bibliography"/>
        <w:spacing w:line="240" w:lineRule="auto"/>
        <w:jc w:val="both"/>
      </w:pPr>
      <w:r w:rsidRPr="00E6458E">
        <w:t xml:space="preserve">Odame, M. L., &amp; Amoah, A. (2023). Household exposure to the risk of cooking smoke: Evidence from Sub-Saharan Africa. </w:t>
      </w:r>
      <w:r w:rsidRPr="00E6458E">
        <w:rPr>
          <w:i/>
          <w:iCs/>
        </w:rPr>
        <w:t>Energy Nexus</w:t>
      </w:r>
      <w:r w:rsidRPr="00E6458E">
        <w:t xml:space="preserve">, </w:t>
      </w:r>
      <w:r w:rsidRPr="00E6458E">
        <w:rPr>
          <w:i/>
          <w:iCs/>
        </w:rPr>
        <w:t>12</w:t>
      </w:r>
      <w:r w:rsidRPr="00E6458E">
        <w:t>, 100256. https://doi.org/10.1016/j.nexus.2023.100256</w:t>
      </w:r>
    </w:p>
    <w:p w14:paraId="27A36708" w14:textId="77777777" w:rsidR="00E6458E" w:rsidRPr="00E6458E" w:rsidRDefault="00E6458E" w:rsidP="00E6458E">
      <w:pPr>
        <w:pStyle w:val="Bibliography"/>
        <w:spacing w:line="240" w:lineRule="auto"/>
        <w:jc w:val="both"/>
      </w:pPr>
      <w:r w:rsidRPr="00E6458E">
        <w:t xml:space="preserve">Odame, M. L., Asiama, R. K., Appiah, M., Afrifa-Anane, G. F., &amp; Kyei-Arthur, F. (2025). Household smoke exposure risk and acute respiratory infection among children under five years in sub-Saharan Africa: Evidence from the demographic and health surveys. </w:t>
      </w:r>
      <w:r w:rsidRPr="00E6458E">
        <w:rPr>
          <w:i/>
          <w:iCs/>
        </w:rPr>
        <w:t>BMC Public Health</w:t>
      </w:r>
      <w:r w:rsidRPr="00E6458E">
        <w:t xml:space="preserve">, </w:t>
      </w:r>
      <w:r w:rsidRPr="00E6458E">
        <w:rPr>
          <w:i/>
          <w:iCs/>
        </w:rPr>
        <w:t>25</w:t>
      </w:r>
      <w:r w:rsidRPr="00E6458E">
        <w:t>(1), 3443. https://doi.org/10.1186/s12889-025-24708-7</w:t>
      </w:r>
    </w:p>
    <w:p w14:paraId="42B4653D" w14:textId="77777777" w:rsidR="00E6458E" w:rsidRPr="00E6458E" w:rsidRDefault="00E6458E" w:rsidP="00E6458E">
      <w:pPr>
        <w:pStyle w:val="Bibliography"/>
        <w:spacing w:line="240" w:lineRule="auto"/>
        <w:jc w:val="both"/>
      </w:pPr>
      <w:r w:rsidRPr="00E6458E">
        <w:t xml:space="preserve">Oluwole, T. S., Adesiyan, A. T., Ojo, T. O., &amp; Elhindi, K. M. (2024). Drivers of Rural Households’ Choices and Intensity of Sustainable Energy Sources for Cooking and Lighting in Ondo State, Nigeria. </w:t>
      </w:r>
      <w:r w:rsidRPr="00E6458E">
        <w:rPr>
          <w:i/>
          <w:iCs/>
        </w:rPr>
        <w:t>Sustainability</w:t>
      </w:r>
      <w:r w:rsidRPr="00E6458E">
        <w:t xml:space="preserve">, </w:t>
      </w:r>
      <w:r w:rsidRPr="00E6458E">
        <w:rPr>
          <w:i/>
          <w:iCs/>
        </w:rPr>
        <w:t>16</w:t>
      </w:r>
      <w:r w:rsidRPr="00E6458E">
        <w:t>(11), 4556. https://doi.org/10.3390/su16114556</w:t>
      </w:r>
    </w:p>
    <w:p w14:paraId="1D9CAC01" w14:textId="77777777" w:rsidR="00E6458E" w:rsidRPr="00E6458E" w:rsidRDefault="00E6458E" w:rsidP="00E6458E">
      <w:pPr>
        <w:pStyle w:val="Bibliography"/>
        <w:spacing w:line="240" w:lineRule="auto"/>
        <w:jc w:val="both"/>
      </w:pPr>
      <w:r w:rsidRPr="00E6458E">
        <w:t xml:space="preserve">Ori, P. U., Adebowale, A., Umeokonkwo, C. D., Osigwe, U., &amp; Balogun, M. S. (2021). Descriptive epidemiology of measles cases in Bauchi State, 2013–2018. </w:t>
      </w:r>
      <w:r w:rsidRPr="00E6458E">
        <w:rPr>
          <w:i/>
          <w:iCs/>
        </w:rPr>
        <w:t>BMC Public Health</w:t>
      </w:r>
      <w:r w:rsidRPr="00E6458E">
        <w:t xml:space="preserve">, </w:t>
      </w:r>
      <w:r w:rsidRPr="00E6458E">
        <w:rPr>
          <w:i/>
          <w:iCs/>
        </w:rPr>
        <w:t>21</w:t>
      </w:r>
      <w:r w:rsidRPr="00E6458E">
        <w:t>(1), 1311. https://doi.org/10.1186/s12889-021-11063-6</w:t>
      </w:r>
    </w:p>
    <w:p w14:paraId="1E7F69D9" w14:textId="77777777" w:rsidR="00E6458E" w:rsidRPr="00E6458E" w:rsidRDefault="00E6458E" w:rsidP="00E6458E">
      <w:pPr>
        <w:pStyle w:val="Bibliography"/>
        <w:spacing w:line="240" w:lineRule="auto"/>
        <w:jc w:val="both"/>
      </w:pPr>
      <w:r w:rsidRPr="00E6458E">
        <w:t xml:space="preserve">Osano, A., Maghanga, J., Munyeza, C. F., Chaka, B., Olal, W., &amp; Forbes, P. B. C. (2020). Insights into household fuel use in Kenyan communities. </w:t>
      </w:r>
      <w:r w:rsidRPr="00E6458E">
        <w:rPr>
          <w:i/>
          <w:iCs/>
        </w:rPr>
        <w:t>Sustainable Cities and Society</w:t>
      </w:r>
      <w:r w:rsidRPr="00E6458E">
        <w:t xml:space="preserve">, </w:t>
      </w:r>
      <w:r w:rsidRPr="00E6458E">
        <w:rPr>
          <w:i/>
          <w:iCs/>
        </w:rPr>
        <w:t>55</w:t>
      </w:r>
      <w:r w:rsidRPr="00E6458E">
        <w:t>, 102039. https://doi.org/10.1016/j.scs.2020.102039</w:t>
      </w:r>
    </w:p>
    <w:p w14:paraId="190C6840" w14:textId="77777777" w:rsidR="00E6458E" w:rsidRPr="00E6458E" w:rsidRDefault="00E6458E" w:rsidP="00E6458E">
      <w:pPr>
        <w:pStyle w:val="Bibliography"/>
        <w:spacing w:line="240" w:lineRule="auto"/>
        <w:jc w:val="both"/>
      </w:pPr>
      <w:r w:rsidRPr="00E6458E">
        <w:t xml:space="preserve">Radbel, J., Rebuli, M. E., Kipen, H., &amp; Brigham, E. (2024). Indoor air pollution and airway health. </w:t>
      </w:r>
      <w:r w:rsidRPr="00E6458E">
        <w:rPr>
          <w:i/>
          <w:iCs/>
        </w:rPr>
        <w:t>Journal of Allergy and Clinical Immunology</w:t>
      </w:r>
      <w:r w:rsidRPr="00E6458E">
        <w:t xml:space="preserve">, </w:t>
      </w:r>
      <w:r w:rsidRPr="00E6458E">
        <w:rPr>
          <w:i/>
          <w:iCs/>
        </w:rPr>
        <w:t>154</w:t>
      </w:r>
      <w:r w:rsidRPr="00E6458E">
        <w:t>(4), 835–846. https://doi.org/10.1016/j.jaci.2024.08.013</w:t>
      </w:r>
    </w:p>
    <w:p w14:paraId="0C081E7E" w14:textId="77777777" w:rsidR="00E6458E" w:rsidRPr="00E6458E" w:rsidRDefault="00E6458E" w:rsidP="00E6458E">
      <w:pPr>
        <w:pStyle w:val="Bibliography"/>
        <w:spacing w:line="240" w:lineRule="auto"/>
        <w:jc w:val="both"/>
      </w:pPr>
      <w:r w:rsidRPr="00E6458E">
        <w:t xml:space="preserve">Rebryk, A., Kozyatnyk, I., &amp; Njenga, M. (2024). Emission of volatile organic compounds during open fire cooking with wood biomass: Traditional three-stone open fire vs. gasifier cooking stove in rural Kenya. </w:t>
      </w:r>
      <w:r w:rsidRPr="00E6458E">
        <w:rPr>
          <w:i/>
          <w:iCs/>
        </w:rPr>
        <w:t>Science of The Total Environment</w:t>
      </w:r>
      <w:r w:rsidRPr="00E6458E">
        <w:t xml:space="preserve">, </w:t>
      </w:r>
      <w:r w:rsidRPr="00E6458E">
        <w:rPr>
          <w:i/>
          <w:iCs/>
        </w:rPr>
        <w:t>934</w:t>
      </w:r>
      <w:r w:rsidRPr="00E6458E">
        <w:t>, 173183. https://doi.org/10.1016/j.scitotenv.2024.173183</w:t>
      </w:r>
    </w:p>
    <w:p w14:paraId="2E8686F0" w14:textId="77777777" w:rsidR="00E6458E" w:rsidRPr="00E6458E" w:rsidRDefault="00E6458E" w:rsidP="00E6458E">
      <w:pPr>
        <w:pStyle w:val="Bibliography"/>
        <w:spacing w:line="240" w:lineRule="auto"/>
        <w:jc w:val="both"/>
      </w:pPr>
      <w:r w:rsidRPr="00E6458E">
        <w:t xml:space="preserve">Rinne, S. T., Rodas, E. J., Bender, B. S., Rinne, M. L., Simpson, J. M., Galer-Unti, R., &amp; Glickman, L. T. (2006). Relationship of pulmonary function among women and children to indoor air pollution from biomass use in rural Ecuador. </w:t>
      </w:r>
      <w:r w:rsidRPr="00E6458E">
        <w:rPr>
          <w:i/>
          <w:iCs/>
        </w:rPr>
        <w:t>Respiratory Medicine</w:t>
      </w:r>
      <w:r w:rsidRPr="00E6458E">
        <w:t xml:space="preserve">, </w:t>
      </w:r>
      <w:r w:rsidRPr="00E6458E">
        <w:rPr>
          <w:i/>
          <w:iCs/>
        </w:rPr>
        <w:t>100</w:t>
      </w:r>
      <w:r w:rsidRPr="00E6458E">
        <w:t>(7), 1208–1215. https://doi.org/10.1016/j.rmed.2005.10.020</w:t>
      </w:r>
    </w:p>
    <w:p w14:paraId="79F383BE" w14:textId="77777777" w:rsidR="00E6458E" w:rsidRPr="00E6458E" w:rsidRDefault="00E6458E" w:rsidP="00E6458E">
      <w:pPr>
        <w:pStyle w:val="Bibliography"/>
        <w:spacing w:line="240" w:lineRule="auto"/>
        <w:jc w:val="both"/>
      </w:pPr>
      <w:r w:rsidRPr="00E6458E">
        <w:t xml:space="preserve">Roslan, N. S., Mat, M. N. H., &amp; Rani, M. F. H. (2026). A review of indoor air quality (IAQ) in classrooms: The effect of particulate matter (PM), gaseous pollutants, and airborne pathogens. </w:t>
      </w:r>
      <w:r w:rsidRPr="00E6458E">
        <w:rPr>
          <w:i/>
          <w:iCs/>
        </w:rPr>
        <w:t>Environmental Pollution</w:t>
      </w:r>
      <w:r w:rsidRPr="00E6458E">
        <w:t xml:space="preserve">, </w:t>
      </w:r>
      <w:r w:rsidRPr="00E6458E">
        <w:rPr>
          <w:i/>
          <w:iCs/>
        </w:rPr>
        <w:t>397</w:t>
      </w:r>
      <w:r w:rsidRPr="00E6458E">
        <w:t>, 127966. https://doi.org/10.1016/j.envpol.2026.127966</w:t>
      </w:r>
    </w:p>
    <w:p w14:paraId="0E121912" w14:textId="77777777" w:rsidR="00E6458E" w:rsidRPr="00E6458E" w:rsidRDefault="00E6458E" w:rsidP="00E6458E">
      <w:pPr>
        <w:pStyle w:val="Bibliography"/>
        <w:spacing w:line="240" w:lineRule="auto"/>
        <w:jc w:val="both"/>
      </w:pPr>
      <w:r w:rsidRPr="00E6458E">
        <w:t xml:space="preserve">Roy Choudhury, A., Singh, N., Chinthala, S., Lalwani, J., J., S. K. R., N., C., Palani, S. G., Mehdizadeh, M., Ram, V. V., &amp; Akhbari, A. (2025). Environmental health hazards attributed to deteriorated indoor air quality caused by inferior construction practices. </w:t>
      </w:r>
      <w:r w:rsidRPr="00E6458E">
        <w:rPr>
          <w:i/>
          <w:iCs/>
        </w:rPr>
        <w:t>Environmental Science: Atmospheres</w:t>
      </w:r>
      <w:r w:rsidRPr="00E6458E">
        <w:t xml:space="preserve">, </w:t>
      </w:r>
      <w:r w:rsidRPr="00E6458E">
        <w:rPr>
          <w:i/>
          <w:iCs/>
        </w:rPr>
        <w:t>5</w:t>
      </w:r>
      <w:r w:rsidRPr="00E6458E">
        <w:t>(9), 941–961. https://doi.org/10.1039/D5EA00027K</w:t>
      </w:r>
    </w:p>
    <w:p w14:paraId="6758838E" w14:textId="77777777" w:rsidR="00E6458E" w:rsidRPr="00E6458E" w:rsidRDefault="00E6458E" w:rsidP="00E6458E">
      <w:pPr>
        <w:pStyle w:val="Bibliography"/>
        <w:spacing w:line="240" w:lineRule="auto"/>
        <w:jc w:val="both"/>
      </w:pPr>
      <w:r w:rsidRPr="00E6458E">
        <w:lastRenderedPageBreak/>
        <w:t xml:space="preserve">Santijitpakdee, T., Hongsibsong, S., Boonyapranai, K., Kulprachakarn, K., Parklak, W., Ounjaijean, S., &amp; Kawichai, S. (2025). Polycyclic Aromatic Hydrocarbons (PAHs) in Household Dusts: Distribution, Sources, and Health Risk Assessment from Rural Areas in Chiang Mai Province, Thailand. </w:t>
      </w:r>
      <w:r w:rsidRPr="00E6458E">
        <w:rPr>
          <w:i/>
          <w:iCs/>
        </w:rPr>
        <w:t>Buildings</w:t>
      </w:r>
      <w:r w:rsidRPr="00E6458E">
        <w:t xml:space="preserve">, </w:t>
      </w:r>
      <w:r w:rsidRPr="00E6458E">
        <w:rPr>
          <w:i/>
          <w:iCs/>
        </w:rPr>
        <w:t>15</w:t>
      </w:r>
      <w:r w:rsidRPr="00E6458E">
        <w:t>(11), 1855. https://doi.org/10.3390/buildings15111855</w:t>
      </w:r>
    </w:p>
    <w:p w14:paraId="49BBCB62" w14:textId="77777777" w:rsidR="00E6458E" w:rsidRPr="00E6458E" w:rsidRDefault="00E6458E" w:rsidP="00E6458E">
      <w:pPr>
        <w:pStyle w:val="Bibliography"/>
        <w:spacing w:line="240" w:lineRule="auto"/>
        <w:jc w:val="both"/>
      </w:pPr>
      <w:r w:rsidRPr="00E6458E">
        <w:t xml:space="preserve">Setia, M. (2016). Methodology series module 3: Cross-sectional studies. </w:t>
      </w:r>
      <w:r w:rsidRPr="00E6458E">
        <w:rPr>
          <w:i/>
          <w:iCs/>
        </w:rPr>
        <w:t>Indian Journal of Dermatology</w:t>
      </w:r>
      <w:r w:rsidRPr="00E6458E">
        <w:t xml:space="preserve">, </w:t>
      </w:r>
      <w:r w:rsidRPr="00E6458E">
        <w:rPr>
          <w:i/>
          <w:iCs/>
        </w:rPr>
        <w:t>61</w:t>
      </w:r>
      <w:r w:rsidRPr="00E6458E">
        <w:t>(3), 261. https://doi.org/10.4103/0019-5154.182410</w:t>
      </w:r>
    </w:p>
    <w:p w14:paraId="44763E8D" w14:textId="77777777" w:rsidR="00E6458E" w:rsidRPr="00E6458E" w:rsidRDefault="00E6458E" w:rsidP="00E6458E">
      <w:pPr>
        <w:pStyle w:val="Bibliography"/>
        <w:spacing w:line="240" w:lineRule="auto"/>
        <w:jc w:val="both"/>
      </w:pPr>
      <w:r w:rsidRPr="00E6458E">
        <w:t xml:space="preserve">Shilenje, Z. W., Maloba, S., &amp; Ongoma, V. (2022). A review on household air pollution and biomass use over Kenya. </w:t>
      </w:r>
      <w:r w:rsidRPr="00E6458E">
        <w:rPr>
          <w:i/>
          <w:iCs/>
        </w:rPr>
        <w:t>Frontiers in Environmental Science</w:t>
      </w:r>
      <w:r w:rsidRPr="00E6458E">
        <w:t xml:space="preserve">, </w:t>
      </w:r>
      <w:r w:rsidRPr="00E6458E">
        <w:rPr>
          <w:i/>
          <w:iCs/>
        </w:rPr>
        <w:t>10</w:t>
      </w:r>
      <w:r w:rsidRPr="00E6458E">
        <w:t>, 996038. https://doi.org/10.3389/fenvs.2022.996038</w:t>
      </w:r>
    </w:p>
    <w:p w14:paraId="074A79CC" w14:textId="49E72756" w:rsidR="00E6458E" w:rsidRPr="00E6458E" w:rsidRDefault="00E6458E" w:rsidP="00E6458E">
      <w:pPr>
        <w:pStyle w:val="Bibliography"/>
        <w:spacing w:line="240" w:lineRule="auto"/>
        <w:jc w:val="both"/>
      </w:pPr>
      <w:r w:rsidRPr="00E6458E">
        <w:t xml:space="preserve">Syafnan, Rizki Hafni Rambe, &amp; Irmayani Pasaribu. (2025). Implementation of Local Wisdom-Based Early Childhood Education Curriculum to Improve Early Childhood Cultural Identity. </w:t>
      </w:r>
      <w:r w:rsidR="001158A6" w:rsidRPr="00E6458E">
        <w:rPr>
          <w:i/>
          <w:iCs/>
        </w:rPr>
        <w:t>Journal Of Digital Learning And Distance Education</w:t>
      </w:r>
      <w:r w:rsidRPr="00E6458E">
        <w:t xml:space="preserve">, </w:t>
      </w:r>
      <w:r w:rsidRPr="00E6458E">
        <w:rPr>
          <w:i/>
          <w:iCs/>
        </w:rPr>
        <w:t>4</w:t>
      </w:r>
      <w:r w:rsidRPr="00E6458E">
        <w:t>(1), 1460–1467. https://doi.org/10.56778/jdlde.v4i1.528</w:t>
      </w:r>
    </w:p>
    <w:p w14:paraId="4F2F4107" w14:textId="77777777" w:rsidR="00E6458E" w:rsidRPr="00E6458E" w:rsidRDefault="00E6458E" w:rsidP="00E6458E">
      <w:pPr>
        <w:pStyle w:val="Bibliography"/>
        <w:spacing w:line="240" w:lineRule="auto"/>
        <w:jc w:val="both"/>
      </w:pPr>
      <w:r w:rsidRPr="00E6458E">
        <w:t xml:space="preserve">Tereka, S., Pétursson, J. G., Byakagaba, P., &amp; Ingólfsdóttir, A. H. (2025). Gender and socio-economic determinants of rural household adoption of clean energy practices in Uganda: Implications for energy transition pathways. </w:t>
      </w:r>
      <w:r w:rsidRPr="00E6458E">
        <w:rPr>
          <w:i/>
          <w:iCs/>
        </w:rPr>
        <w:t>Energy for Sustainable Development</w:t>
      </w:r>
      <w:r w:rsidRPr="00E6458E">
        <w:t xml:space="preserve">, </w:t>
      </w:r>
      <w:r w:rsidRPr="00E6458E">
        <w:rPr>
          <w:i/>
          <w:iCs/>
        </w:rPr>
        <w:t>88</w:t>
      </w:r>
      <w:r w:rsidRPr="00E6458E">
        <w:t>, 101780. https://doi.org/10.1016/j.esd.2025.101780</w:t>
      </w:r>
    </w:p>
    <w:p w14:paraId="62DE930A" w14:textId="77777777" w:rsidR="00E6458E" w:rsidRPr="00E6458E" w:rsidRDefault="00E6458E" w:rsidP="00E6458E">
      <w:pPr>
        <w:pStyle w:val="Bibliography"/>
        <w:spacing w:line="240" w:lineRule="auto"/>
        <w:jc w:val="both"/>
      </w:pPr>
      <w:r w:rsidRPr="00E6458E">
        <w:t xml:space="preserve">Williams, H., Baame, M., Lorenzetti, F., Mangeni, J., Nix, E., Betang, E., Chartier, R., Sang, E., Wilson, D., Tawiah, T., Quansah, R., Puzzolo, E., Menya, D., Ngahane, B. H. M., Pope, D., Asante, K. P., &amp; Shupler, M. (2025). Multinational modelling of PM2.5 and CO exposures from household air pollution in peri-urban Cameroon, Ghana and Kenya. </w:t>
      </w:r>
      <w:r w:rsidRPr="00E6458E">
        <w:rPr>
          <w:i/>
          <w:iCs/>
        </w:rPr>
        <w:t>Scientific Reports</w:t>
      </w:r>
      <w:r w:rsidRPr="00E6458E">
        <w:t xml:space="preserve">, </w:t>
      </w:r>
      <w:r w:rsidRPr="00E6458E">
        <w:rPr>
          <w:i/>
          <w:iCs/>
        </w:rPr>
        <w:t>15</w:t>
      </w:r>
      <w:r w:rsidRPr="00E6458E">
        <w:t>(1), 6856. https://doi.org/10.1038/s41598-024-81413-y</w:t>
      </w:r>
    </w:p>
    <w:p w14:paraId="0FBBDD3F" w14:textId="77777777" w:rsidR="00E6458E" w:rsidRPr="00E6458E" w:rsidRDefault="00E6458E" w:rsidP="00E6458E">
      <w:pPr>
        <w:pStyle w:val="Bibliography"/>
        <w:spacing w:line="240" w:lineRule="auto"/>
        <w:jc w:val="both"/>
      </w:pPr>
      <w:r w:rsidRPr="00E6458E">
        <w:t xml:space="preserve">Yadav, B. K., Singh, P., Satapathy, P., &amp; Arasu, P. T. (2024). Association between biomass cooking fuels and prevalence of tuberculosis among households: A cross-sectional study from 2019 - 2021 in India. </w:t>
      </w:r>
      <w:r w:rsidRPr="00E6458E">
        <w:rPr>
          <w:i/>
          <w:iCs/>
        </w:rPr>
        <w:t>BMC Public Health</w:t>
      </w:r>
      <w:r w:rsidRPr="00E6458E">
        <w:t xml:space="preserve">, </w:t>
      </w:r>
      <w:r w:rsidRPr="00E6458E">
        <w:rPr>
          <w:i/>
          <w:iCs/>
        </w:rPr>
        <w:t>24</w:t>
      </w:r>
      <w:r w:rsidRPr="00E6458E">
        <w:t>(1), 3619. https://doi.org/10.1186/s12889-024-20789-y</w:t>
      </w:r>
    </w:p>
    <w:p w14:paraId="352381F8" w14:textId="77777777" w:rsidR="00E6458E" w:rsidRPr="00E6458E" w:rsidRDefault="00E6458E" w:rsidP="00E6458E">
      <w:pPr>
        <w:pStyle w:val="Bibliography"/>
        <w:spacing w:line="240" w:lineRule="auto"/>
        <w:jc w:val="both"/>
      </w:pPr>
      <w:r w:rsidRPr="00E6458E">
        <w:t xml:space="preserve">Zhang, C., Kang, N., Hou, X., Chang, G., Yuchi, Y., Liu, X., Huo, W., Mao, Z., Hou, J., &amp; Wang, C. (2022). The Effect of Kitchen Ventilation Modification on Independent and Combined Associations of Cooking Fuel Type and Cooking Duration with Suicidal Ideation: A Cross-Sectional Study. </w:t>
      </w:r>
      <w:r w:rsidRPr="00E6458E">
        <w:rPr>
          <w:i/>
          <w:iCs/>
        </w:rPr>
        <w:t>Toxics</w:t>
      </w:r>
      <w:r w:rsidRPr="00E6458E">
        <w:t xml:space="preserve">, </w:t>
      </w:r>
      <w:r w:rsidRPr="00E6458E">
        <w:rPr>
          <w:i/>
          <w:iCs/>
        </w:rPr>
        <w:t>10</w:t>
      </w:r>
      <w:r w:rsidRPr="00E6458E">
        <w:t>(12), 721. https://doi.org/10.3390/toxics10120721</w:t>
      </w:r>
    </w:p>
    <w:p w14:paraId="58ACDEBA" w14:textId="1569D3D4" w:rsidR="00245F4C" w:rsidRDefault="00245F4C" w:rsidP="00E6458E">
      <w:pPr>
        <w:widowControl w:val="0"/>
        <w:autoSpaceDE w:val="0"/>
        <w:autoSpaceDN w:val="0"/>
        <w:adjustRightInd w:val="0"/>
        <w:jc w:val="both"/>
        <w:rPr>
          <w:rFonts w:eastAsia="Times New Roman"/>
          <w:b/>
          <w:bCs/>
          <w:lang w:eastAsia="en-GB"/>
        </w:rPr>
      </w:pPr>
      <w:r>
        <w:rPr>
          <w:rFonts w:eastAsia="Times New Roman"/>
          <w:b/>
          <w:bCs/>
          <w:lang w:eastAsia="en-GB"/>
        </w:rPr>
        <w:fldChar w:fldCharType="end"/>
      </w:r>
    </w:p>
    <w:p w14:paraId="41C81E1E" w14:textId="17CCE643" w:rsidR="003776F6" w:rsidRPr="00F34DEF" w:rsidRDefault="003776F6" w:rsidP="00E6458E">
      <w:pPr>
        <w:pStyle w:val="Bibliography"/>
        <w:spacing w:line="240" w:lineRule="auto"/>
        <w:jc w:val="both"/>
      </w:pPr>
    </w:p>
    <w:p w14:paraId="0C2C280A" w14:textId="3DCDB606" w:rsidR="00177D6D" w:rsidRPr="00D53C77" w:rsidRDefault="00177D6D" w:rsidP="00E6458E">
      <w:pPr>
        <w:widowControl w:val="0"/>
        <w:autoSpaceDE w:val="0"/>
        <w:autoSpaceDN w:val="0"/>
        <w:adjustRightInd w:val="0"/>
        <w:jc w:val="both"/>
        <w:sectPr w:rsidR="00177D6D" w:rsidRPr="00D53C77" w:rsidSect="0021271B">
          <w:headerReference w:type="default" r:id="rId8"/>
          <w:footerReference w:type="default" r:id="rId9"/>
          <w:headerReference w:type="first" r:id="rId10"/>
          <w:footerReference w:type="first" r:id="rId11"/>
          <w:type w:val="continuous"/>
          <w:pgSz w:w="11894" w:h="16157" w:code="9"/>
          <w:pgMar w:top="696" w:right="1134" w:bottom="1134" w:left="1418" w:header="737" w:footer="454" w:gutter="0"/>
          <w:pgNumType w:start="727"/>
          <w:cols w:space="708"/>
          <w:titlePg/>
          <w:docGrid w:linePitch="360"/>
        </w:sectPr>
      </w:pPr>
    </w:p>
    <w:p w14:paraId="1508CFCB" w14:textId="77777777" w:rsidR="007363A3" w:rsidRPr="00D53C77" w:rsidRDefault="007363A3" w:rsidP="00E6458E">
      <w:pPr>
        <w:jc w:val="both"/>
        <w:rPr>
          <w:b/>
          <w:i/>
        </w:rPr>
      </w:pPr>
    </w:p>
    <w:sectPr w:rsidR="007363A3" w:rsidRPr="00D53C77" w:rsidSect="00E50627">
      <w:type w:val="continuous"/>
      <w:pgSz w:w="11894" w:h="16157" w:code="9"/>
      <w:pgMar w:top="1134" w:right="851" w:bottom="1134" w:left="851" w:header="696" w:footer="1140" w:gutter="0"/>
      <w:cols w:num="2" w:space="29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A787A6" w14:textId="77777777" w:rsidR="000829FE" w:rsidRDefault="000829FE" w:rsidP="008834B4">
      <w:r>
        <w:separator/>
      </w:r>
    </w:p>
  </w:endnote>
  <w:endnote w:type="continuationSeparator" w:id="0">
    <w:p w14:paraId="61A7AACE" w14:textId="77777777" w:rsidR="000829FE" w:rsidRDefault="000829FE" w:rsidP="008834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Lucida Grande">
    <w:altName w:val="Segoe UI"/>
    <w:panose1 w:val="00000000000000000000"/>
    <w:charset w:val="00"/>
    <w:family w:val="roman"/>
    <w:notTrueType/>
    <w:pitch w:val="default"/>
  </w:font>
  <w:font w:name="ヒラギノ角ゴ Pro W3">
    <w:panose1 w:val="00000000000000000000"/>
    <w:charset w:val="80"/>
    <w:family w:val="roman"/>
    <w:notTrueType/>
    <w:pitch w:val="default"/>
  </w:font>
  <w:font w:name="Times New Roman Bold">
    <w:panose1 w:val="02020803070505020304"/>
    <w:charset w:val="00"/>
    <w:family w:val="roman"/>
    <w:notTrueType/>
    <w:pitch w:val="default"/>
  </w:font>
  <w:font w:name="Times New Roman Bold Italic">
    <w:panose1 w:val="02020703060505090304"/>
    <w:charset w:val="00"/>
    <w:family w:val="roman"/>
    <w:notTrueType/>
    <w:pitch w:val="default"/>
  </w:font>
  <w:font w:name="BatangChe">
    <w:charset w:val="81"/>
    <w:family w:val="modern"/>
    <w:pitch w:val="fixed"/>
    <w:sig w:usb0="B00002AF" w:usb1="69D77CFB" w:usb2="00000030" w:usb3="00000000" w:csb0="0008009F" w:csb1="00000000"/>
  </w:font>
  <w:font w:name="Batang">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203" w:usb1="288F0000" w:usb2="00000016" w:usb3="00000000" w:csb0="00040001" w:csb1="00000000"/>
  </w:font>
  <w:font w:name="Open Sans Light">
    <w:charset w:val="00"/>
    <w:family w:val="swiss"/>
    <w:pitch w:val="variable"/>
    <w:sig w:usb0="E00002EF" w:usb1="4000205B" w:usb2="00000028" w:usb3="00000000" w:csb0="0000019F" w:csb1="00000000"/>
  </w:font>
  <w:font w:name="Book Antiqua">
    <w:altName w:val="Book Antiqua"/>
    <w:panose1 w:val="02040602050305030304"/>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Avenir">
    <w:altName w:val="Calibri"/>
    <w:charset w:val="4D"/>
    <w:family w:val="swiss"/>
    <w:pitch w:val="variable"/>
    <w:sig w:usb0="800000AF" w:usb1="5000204A" w:usb2="00000000" w:usb3="00000000" w:csb0="0000009B" w:csb1="00000000"/>
  </w:font>
  <w:font w:name="Avenir Black">
    <w:altName w:val="Trebuchet MS"/>
    <w:charset w:val="4D"/>
    <w:family w:val="swiss"/>
    <w:pitch w:val="default"/>
    <w:sig w:usb0="00000000" w:usb1="00000000" w:usb2="00000000" w:usb3="00000000" w:csb0="0000009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54868882"/>
      <w:docPartObj>
        <w:docPartGallery w:val="Page Numbers (Bottom of Page)"/>
        <w:docPartUnique/>
      </w:docPartObj>
    </w:sdtPr>
    <w:sdtEndPr>
      <w:rPr>
        <w:noProof/>
      </w:rPr>
    </w:sdtEndPr>
    <w:sdtContent>
      <w:p w14:paraId="7E492E57" w14:textId="7E4DC588" w:rsidR="0021271B" w:rsidRDefault="0021271B">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3AEB3C7" w14:textId="77777777" w:rsidR="0017414D" w:rsidRDefault="0017414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C06CFA" w14:textId="77777777" w:rsidR="004F4E3E" w:rsidRDefault="004F4E3E"/>
  <w:tbl>
    <w:tblPr>
      <w:tblW w:w="9606" w:type="dxa"/>
      <w:tblBorders>
        <w:top w:val="single" w:sz="4" w:space="0" w:color="auto"/>
      </w:tblBorders>
      <w:tblLook w:val="04A0" w:firstRow="1" w:lastRow="0" w:firstColumn="1" w:lastColumn="0" w:noHBand="0" w:noVBand="1"/>
    </w:tblPr>
    <w:tblGrid>
      <w:gridCol w:w="2376"/>
      <w:gridCol w:w="7230"/>
    </w:tblGrid>
    <w:tr w:rsidR="005E2790" w:rsidRPr="00F7651F" w14:paraId="2A7649A1" w14:textId="77777777" w:rsidTr="005E2790">
      <w:trPr>
        <w:trHeight w:val="287"/>
      </w:trPr>
      <w:tc>
        <w:tcPr>
          <w:tcW w:w="2376" w:type="dxa"/>
        </w:tcPr>
        <w:p w14:paraId="58DEC3E9" w14:textId="77777777" w:rsidR="004F4E3E" w:rsidRPr="00F7651F" w:rsidRDefault="004F4E3E" w:rsidP="00F7651F">
          <w:pPr>
            <w:pStyle w:val="Footer"/>
            <w:rPr>
              <w:sz w:val="18"/>
              <w:szCs w:val="18"/>
            </w:rPr>
          </w:pPr>
        </w:p>
        <w:p w14:paraId="27282CCA" w14:textId="0B01C1E2" w:rsidR="00236724" w:rsidRPr="00F7651F" w:rsidRDefault="00F7651F" w:rsidP="00F7651F">
          <w:pPr>
            <w:pStyle w:val="Footer"/>
            <w:rPr>
              <w:sz w:val="18"/>
              <w:szCs w:val="18"/>
              <w:lang w:val="en-US"/>
            </w:rPr>
          </w:pPr>
          <w:r w:rsidRPr="00F7651F">
            <w:rPr>
              <w:sz w:val="18"/>
              <w:szCs w:val="18"/>
            </w:rPr>
            <w:t>SALISU</w:t>
          </w:r>
          <w:r w:rsidR="007F7AD6" w:rsidRPr="00F7651F">
            <w:rPr>
              <w:sz w:val="18"/>
              <w:szCs w:val="18"/>
            </w:rPr>
            <w:t>, 202</w:t>
          </w:r>
          <w:r w:rsidR="008A2A0E" w:rsidRPr="00F7651F">
            <w:rPr>
              <w:sz w:val="18"/>
              <w:szCs w:val="18"/>
              <w:lang w:val="en-US"/>
            </w:rPr>
            <w:t>6</w:t>
          </w:r>
        </w:p>
        <w:p w14:paraId="4B4B09D7" w14:textId="77777777" w:rsidR="00236724" w:rsidRPr="00F7651F" w:rsidRDefault="00236724" w:rsidP="00F7651F">
          <w:pPr>
            <w:pStyle w:val="Header"/>
            <w:jc w:val="both"/>
            <w:rPr>
              <w:b/>
              <w:i/>
              <w:sz w:val="18"/>
              <w:szCs w:val="18"/>
            </w:rPr>
          </w:pPr>
        </w:p>
      </w:tc>
      <w:tc>
        <w:tcPr>
          <w:tcW w:w="7230" w:type="dxa"/>
          <w:vAlign w:val="center"/>
        </w:tcPr>
        <w:p w14:paraId="18C54963" w14:textId="77777777" w:rsidR="00236724" w:rsidRPr="00F7651F" w:rsidRDefault="00236724" w:rsidP="00F7651F">
          <w:pPr>
            <w:pStyle w:val="Footer"/>
            <w:jc w:val="right"/>
            <w:rPr>
              <w:sz w:val="18"/>
              <w:szCs w:val="18"/>
            </w:rPr>
          </w:pPr>
        </w:p>
        <w:p w14:paraId="639D0AFE" w14:textId="516DB26B" w:rsidR="00236724" w:rsidRPr="00F7651F" w:rsidRDefault="003906C2" w:rsidP="00F7651F">
          <w:pPr>
            <w:pStyle w:val="Footer"/>
            <w:jc w:val="right"/>
            <w:rPr>
              <w:rStyle w:val="A6"/>
              <w:rFonts w:cs="Times New Roman"/>
              <w:color w:val="auto"/>
              <w:sz w:val="18"/>
              <w:szCs w:val="18"/>
            </w:rPr>
          </w:pPr>
          <w:r w:rsidRPr="00F7651F">
            <w:rPr>
              <w:sz w:val="18"/>
              <w:szCs w:val="18"/>
            </w:rPr>
            <w:t xml:space="preserve">Radinka Journal of Health Science </w:t>
          </w:r>
          <w:r w:rsidR="00236724" w:rsidRPr="00F7651F">
            <w:rPr>
              <w:sz w:val="18"/>
              <w:szCs w:val="18"/>
            </w:rPr>
            <w:t xml:space="preserve">Vol. </w:t>
          </w:r>
          <w:r w:rsidR="0021271B">
            <w:rPr>
              <w:sz w:val="18"/>
              <w:szCs w:val="18"/>
            </w:rPr>
            <w:t>4</w:t>
          </w:r>
          <w:r w:rsidR="00236724" w:rsidRPr="00F7651F">
            <w:rPr>
              <w:sz w:val="18"/>
              <w:szCs w:val="18"/>
            </w:rPr>
            <w:t xml:space="preserve"> </w:t>
          </w:r>
          <w:r w:rsidR="0021271B">
            <w:rPr>
              <w:sz w:val="18"/>
              <w:szCs w:val="18"/>
            </w:rPr>
            <w:t>Issue</w:t>
          </w:r>
          <w:r w:rsidR="00236724" w:rsidRPr="00F7651F">
            <w:rPr>
              <w:sz w:val="18"/>
              <w:szCs w:val="18"/>
            </w:rPr>
            <w:t xml:space="preserve"> </w:t>
          </w:r>
          <w:r w:rsidR="0021271B">
            <w:rPr>
              <w:sz w:val="18"/>
              <w:szCs w:val="18"/>
            </w:rPr>
            <w:t>1</w:t>
          </w:r>
          <w:r w:rsidR="00236724" w:rsidRPr="00F7651F">
            <w:rPr>
              <w:sz w:val="18"/>
              <w:szCs w:val="18"/>
            </w:rPr>
            <w:t xml:space="preserve"> (</w:t>
          </w:r>
          <w:r w:rsidR="0021271B">
            <w:rPr>
              <w:sz w:val="18"/>
              <w:szCs w:val="18"/>
            </w:rPr>
            <w:t>August</w:t>
          </w:r>
          <w:r w:rsidR="00236724" w:rsidRPr="00F7651F">
            <w:rPr>
              <w:sz w:val="18"/>
              <w:szCs w:val="18"/>
            </w:rPr>
            <w:t xml:space="preserve"> 202</w:t>
          </w:r>
          <w:r w:rsidR="0021271B">
            <w:rPr>
              <w:sz w:val="18"/>
              <w:szCs w:val="18"/>
            </w:rPr>
            <w:t>6</w:t>
          </w:r>
          <w:r w:rsidR="00236724" w:rsidRPr="00F7651F">
            <w:rPr>
              <w:sz w:val="18"/>
              <w:szCs w:val="18"/>
            </w:rPr>
            <w:t>)</w:t>
          </w:r>
        </w:p>
        <w:p w14:paraId="1ABB9CAD" w14:textId="77777777" w:rsidR="00236724" w:rsidRPr="00F7651F" w:rsidRDefault="00236724" w:rsidP="00F7651F">
          <w:pPr>
            <w:pStyle w:val="Header"/>
            <w:jc w:val="right"/>
            <w:rPr>
              <w:sz w:val="18"/>
              <w:szCs w:val="18"/>
            </w:rPr>
          </w:pPr>
        </w:p>
      </w:tc>
    </w:tr>
  </w:tbl>
  <w:p w14:paraId="16F3627C" w14:textId="77777777" w:rsidR="00CD4F27" w:rsidRPr="00F7651F" w:rsidRDefault="00CD4F27" w:rsidP="00F7651F">
    <w:pPr>
      <w:pStyle w:val="Footer"/>
      <w:rPr>
        <w:rStyle w:val="A6"/>
        <w:rFonts w:cs="Times New Roman"/>
        <w:color w:val="auto"/>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B3C124" w14:textId="77777777" w:rsidR="000829FE" w:rsidRDefault="000829FE" w:rsidP="008834B4">
      <w:r>
        <w:separator/>
      </w:r>
    </w:p>
  </w:footnote>
  <w:footnote w:type="continuationSeparator" w:id="0">
    <w:p w14:paraId="27739143" w14:textId="77777777" w:rsidR="000829FE" w:rsidRDefault="000829FE" w:rsidP="008834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A6C48F" w14:textId="77777777" w:rsidR="00236724" w:rsidRDefault="00236724"/>
  <w:tbl>
    <w:tblPr>
      <w:tblW w:w="9606" w:type="dxa"/>
      <w:tblBorders>
        <w:bottom w:val="single" w:sz="4" w:space="0" w:color="auto"/>
      </w:tblBorders>
      <w:tblLook w:val="04A0" w:firstRow="1" w:lastRow="0" w:firstColumn="1" w:lastColumn="0" w:noHBand="0" w:noVBand="1"/>
    </w:tblPr>
    <w:tblGrid>
      <w:gridCol w:w="2376"/>
      <w:gridCol w:w="7230"/>
    </w:tblGrid>
    <w:tr w:rsidR="002E1AB0" w:rsidRPr="005D76DE" w14:paraId="437AEC02" w14:textId="77777777" w:rsidTr="00236724">
      <w:trPr>
        <w:trHeight w:val="287"/>
      </w:trPr>
      <w:tc>
        <w:tcPr>
          <w:tcW w:w="2376" w:type="dxa"/>
          <w:tcBorders>
            <w:bottom w:val="single" w:sz="4" w:space="0" w:color="auto"/>
          </w:tcBorders>
        </w:tcPr>
        <w:p w14:paraId="7EB18997" w14:textId="7929EFF0" w:rsidR="00F7651F" w:rsidRPr="00F7651F" w:rsidRDefault="00F7651F" w:rsidP="00F7651F">
          <w:pPr>
            <w:pStyle w:val="Footer"/>
            <w:rPr>
              <w:sz w:val="18"/>
              <w:szCs w:val="18"/>
              <w:lang w:val="en-US"/>
            </w:rPr>
          </w:pPr>
          <w:r w:rsidRPr="00F7651F">
            <w:rPr>
              <w:sz w:val="18"/>
              <w:szCs w:val="18"/>
            </w:rPr>
            <w:t>SALISU, 202</w:t>
          </w:r>
          <w:r w:rsidRPr="00F7651F">
            <w:rPr>
              <w:sz w:val="18"/>
              <w:szCs w:val="18"/>
              <w:lang w:val="en-US"/>
            </w:rPr>
            <w:t>6</w:t>
          </w:r>
        </w:p>
        <w:p w14:paraId="0447DDF8" w14:textId="77777777" w:rsidR="002E1AB0" w:rsidRPr="00E03448" w:rsidRDefault="002E1AB0" w:rsidP="00A475B1">
          <w:pPr>
            <w:pStyle w:val="Header"/>
            <w:jc w:val="both"/>
            <w:rPr>
              <w:b/>
              <w:i/>
              <w:sz w:val="16"/>
              <w:szCs w:val="16"/>
            </w:rPr>
          </w:pPr>
        </w:p>
      </w:tc>
      <w:tc>
        <w:tcPr>
          <w:tcW w:w="7230" w:type="dxa"/>
          <w:tcBorders>
            <w:bottom w:val="single" w:sz="4" w:space="0" w:color="auto"/>
          </w:tcBorders>
          <w:vAlign w:val="center"/>
        </w:tcPr>
        <w:p w14:paraId="2ED79568" w14:textId="57B69015" w:rsidR="00236724" w:rsidRPr="00E03448" w:rsidRDefault="00E01684" w:rsidP="00E01684">
          <w:pPr>
            <w:pStyle w:val="Footer"/>
            <w:rPr>
              <w:rStyle w:val="A6"/>
              <w:rFonts w:cs="Times New Roman"/>
              <w:color w:val="auto"/>
              <w:sz w:val="18"/>
              <w:szCs w:val="18"/>
            </w:rPr>
          </w:pPr>
          <w:r>
            <w:rPr>
              <w:sz w:val="18"/>
              <w:szCs w:val="18"/>
            </w:rPr>
            <w:t xml:space="preserve">                                                    </w:t>
          </w:r>
          <w:r w:rsidR="003906C2" w:rsidRPr="003906C2">
            <w:rPr>
              <w:sz w:val="18"/>
              <w:szCs w:val="18"/>
            </w:rPr>
            <w:t>Radinka Journal of Health Science</w:t>
          </w:r>
          <w:r w:rsidR="00236724" w:rsidRPr="00E03448">
            <w:rPr>
              <w:sz w:val="18"/>
              <w:szCs w:val="18"/>
            </w:rPr>
            <w:t xml:space="preserve"> Vol. </w:t>
          </w:r>
          <w:r>
            <w:rPr>
              <w:sz w:val="18"/>
              <w:szCs w:val="18"/>
            </w:rPr>
            <w:t>4</w:t>
          </w:r>
          <w:r w:rsidRPr="00F7651F">
            <w:rPr>
              <w:sz w:val="18"/>
              <w:szCs w:val="18"/>
            </w:rPr>
            <w:t xml:space="preserve"> </w:t>
          </w:r>
          <w:r>
            <w:rPr>
              <w:sz w:val="18"/>
              <w:szCs w:val="18"/>
            </w:rPr>
            <w:t>Issue</w:t>
          </w:r>
          <w:r w:rsidRPr="00F7651F">
            <w:rPr>
              <w:sz w:val="18"/>
              <w:szCs w:val="18"/>
            </w:rPr>
            <w:t xml:space="preserve"> </w:t>
          </w:r>
          <w:r>
            <w:rPr>
              <w:sz w:val="18"/>
              <w:szCs w:val="18"/>
            </w:rPr>
            <w:t>1</w:t>
          </w:r>
          <w:r w:rsidRPr="00F7651F">
            <w:rPr>
              <w:sz w:val="18"/>
              <w:szCs w:val="18"/>
            </w:rPr>
            <w:t xml:space="preserve"> (</w:t>
          </w:r>
          <w:r>
            <w:rPr>
              <w:sz w:val="18"/>
              <w:szCs w:val="18"/>
            </w:rPr>
            <w:t>August</w:t>
          </w:r>
          <w:r w:rsidRPr="00F7651F">
            <w:rPr>
              <w:sz w:val="18"/>
              <w:szCs w:val="18"/>
            </w:rPr>
            <w:t xml:space="preserve"> 202</w:t>
          </w:r>
          <w:r>
            <w:rPr>
              <w:sz w:val="18"/>
              <w:szCs w:val="18"/>
            </w:rPr>
            <w:t>6</w:t>
          </w:r>
          <w:r w:rsidRPr="00F7651F">
            <w:rPr>
              <w:sz w:val="18"/>
              <w:szCs w:val="18"/>
            </w:rPr>
            <w:t>)</w:t>
          </w:r>
        </w:p>
        <w:p w14:paraId="1F8B7101" w14:textId="77777777" w:rsidR="002E1AB0" w:rsidRPr="00E03448" w:rsidRDefault="002E1AB0" w:rsidP="00A475B1">
          <w:pPr>
            <w:pStyle w:val="Header"/>
            <w:jc w:val="right"/>
            <w:rPr>
              <w:sz w:val="16"/>
              <w:szCs w:val="16"/>
            </w:rPr>
          </w:pPr>
        </w:p>
      </w:tc>
    </w:tr>
  </w:tbl>
  <w:p w14:paraId="5DBCEEDA" w14:textId="77777777" w:rsidR="00F71A34" w:rsidRPr="00AE64C4" w:rsidRDefault="00F71A34" w:rsidP="00AE64C4">
    <w:pPr>
      <w:pStyle w:val="Header"/>
      <w:jc w:val="both"/>
      <w:rPr>
        <w:sz w:val="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356" w:type="dxa"/>
      <w:tblBorders>
        <w:bottom w:val="single" w:sz="4" w:space="0" w:color="auto"/>
      </w:tblBorders>
      <w:tblLayout w:type="fixed"/>
      <w:tblLook w:val="0400" w:firstRow="0" w:lastRow="0" w:firstColumn="0" w:lastColumn="0" w:noHBand="0" w:noVBand="1"/>
    </w:tblPr>
    <w:tblGrid>
      <w:gridCol w:w="1838"/>
      <w:gridCol w:w="5665"/>
      <w:gridCol w:w="1853"/>
    </w:tblGrid>
    <w:tr w:rsidR="00AB78F7" w14:paraId="4E49A1F6" w14:textId="77777777" w:rsidTr="00097AB2">
      <w:trPr>
        <w:trHeight w:val="2410"/>
      </w:trPr>
      <w:tc>
        <w:tcPr>
          <w:tcW w:w="1838" w:type="dxa"/>
        </w:tcPr>
        <w:p w14:paraId="07A88BF8" w14:textId="77777777" w:rsidR="00AB78F7" w:rsidRDefault="00AB78F7" w:rsidP="00AB78F7">
          <w:pPr>
            <w:jc w:val="center"/>
            <w:rPr>
              <w:rFonts w:ascii="Book Antiqua" w:eastAsia="Book Antiqua" w:hAnsi="Book Antiqua" w:cs="Book Antiqua"/>
              <w:sz w:val="18"/>
              <w:szCs w:val="18"/>
            </w:rPr>
          </w:pPr>
          <w:bookmarkStart w:id="2" w:name="_Hlk162637273"/>
          <w:r w:rsidRPr="005C3656">
            <w:rPr>
              <w:rFonts w:ascii="Book Antiqua" w:eastAsia="Book Antiqua" w:hAnsi="Book Antiqua" w:cs="Book Antiqua"/>
              <w:noProof/>
              <w:sz w:val="18"/>
              <w:szCs w:val="18"/>
            </w:rPr>
            <w:drawing>
              <wp:inline distT="0" distB="0" distL="0" distR="0" wp14:anchorId="79D74776" wp14:editId="52DD65B0">
                <wp:extent cx="1055113" cy="1492250"/>
                <wp:effectExtent l="0" t="0" r="0"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55491" cy="1492785"/>
                        </a:xfrm>
                        <a:prstGeom prst="rect">
                          <a:avLst/>
                        </a:prstGeom>
                        <a:noFill/>
                        <a:ln>
                          <a:noFill/>
                        </a:ln>
                      </pic:spPr>
                    </pic:pic>
                  </a:graphicData>
                </a:graphic>
              </wp:inline>
            </w:drawing>
          </w:r>
        </w:p>
      </w:tc>
      <w:tc>
        <w:tcPr>
          <w:tcW w:w="5665" w:type="dxa"/>
        </w:tcPr>
        <w:p w14:paraId="680E5633" w14:textId="77777777" w:rsidR="00AB78F7" w:rsidRDefault="00AB78F7" w:rsidP="00AB78F7">
          <w:pPr>
            <w:jc w:val="center"/>
            <w:rPr>
              <w:rFonts w:ascii="Book Antiqua" w:eastAsia="Book Antiqua" w:hAnsi="Book Antiqua" w:cs="Book Antiqua"/>
              <w:sz w:val="18"/>
              <w:szCs w:val="18"/>
            </w:rPr>
          </w:pPr>
        </w:p>
        <w:p w14:paraId="090DC9B5" w14:textId="77777777" w:rsidR="00AB78F7" w:rsidRDefault="00AB78F7" w:rsidP="00AB78F7">
          <w:pPr>
            <w:ind w:left="-709" w:right="-312"/>
            <w:jc w:val="center"/>
            <w:rPr>
              <w:b/>
              <w:bCs/>
              <w:sz w:val="22"/>
              <w:szCs w:val="22"/>
            </w:rPr>
          </w:pPr>
          <w:r w:rsidRPr="00C82CEA">
            <w:rPr>
              <w:b/>
              <w:bCs/>
              <w:sz w:val="22"/>
              <w:szCs w:val="22"/>
            </w:rPr>
            <w:t xml:space="preserve">      </w:t>
          </w:r>
        </w:p>
        <w:p w14:paraId="70FFDCCC" w14:textId="77777777" w:rsidR="00AB78F7" w:rsidRPr="00C82CEA" w:rsidRDefault="00AB78F7" w:rsidP="00AB78F7">
          <w:pPr>
            <w:ind w:left="-709" w:right="-312"/>
            <w:jc w:val="center"/>
            <w:rPr>
              <w:b/>
              <w:bCs/>
              <w:sz w:val="22"/>
              <w:szCs w:val="22"/>
            </w:rPr>
          </w:pPr>
          <w:r w:rsidRPr="00C82CEA">
            <w:rPr>
              <w:b/>
              <w:bCs/>
              <w:sz w:val="22"/>
              <w:szCs w:val="22"/>
            </w:rPr>
            <w:t xml:space="preserve"> </w:t>
          </w:r>
          <w:r>
            <w:rPr>
              <w:b/>
              <w:bCs/>
              <w:sz w:val="22"/>
              <w:szCs w:val="22"/>
            </w:rPr>
            <w:t xml:space="preserve">RADINKA </w:t>
          </w:r>
          <w:r w:rsidRPr="00C82CEA">
            <w:rPr>
              <w:b/>
              <w:bCs/>
              <w:sz w:val="22"/>
              <w:szCs w:val="22"/>
            </w:rPr>
            <w:t>JOU</w:t>
          </w:r>
          <w:r>
            <w:rPr>
              <w:b/>
              <w:bCs/>
              <w:sz w:val="22"/>
              <w:szCs w:val="22"/>
            </w:rPr>
            <w:t>RNAL OF HEALTH SCIENCE</w:t>
          </w:r>
        </w:p>
        <w:p w14:paraId="22C67938" w14:textId="77777777" w:rsidR="00AB78F7" w:rsidRPr="00C82CEA" w:rsidRDefault="00AB78F7" w:rsidP="00AB78F7">
          <w:pPr>
            <w:ind w:left="-709" w:right="-312"/>
            <w:rPr>
              <w:b/>
              <w:bCs/>
              <w:sz w:val="22"/>
              <w:szCs w:val="22"/>
            </w:rPr>
          </w:pPr>
        </w:p>
        <w:p w14:paraId="33251D9B" w14:textId="77777777" w:rsidR="00AB78F7" w:rsidRPr="00DC4478" w:rsidRDefault="00AB78F7" w:rsidP="00AB78F7">
          <w:pPr>
            <w:ind w:left="-709" w:right="-312"/>
            <w:jc w:val="center"/>
          </w:pPr>
          <w:r w:rsidRPr="00DC4478">
            <w:rPr>
              <w:b/>
              <w:bCs/>
            </w:rPr>
            <w:t>ISSN: 3025-7751</w:t>
          </w:r>
        </w:p>
        <w:p w14:paraId="31ED88FE" w14:textId="77777777" w:rsidR="00AB78F7" w:rsidRPr="00C82CEA" w:rsidRDefault="00AB78F7" w:rsidP="00AB78F7">
          <w:pPr>
            <w:pStyle w:val="Header"/>
            <w:tabs>
              <w:tab w:val="left" w:pos="7566"/>
              <w:tab w:val="right" w:pos="9020"/>
            </w:tabs>
            <w:ind w:left="-426"/>
            <w:rPr>
              <w:sz w:val="22"/>
              <w:szCs w:val="22"/>
            </w:rPr>
          </w:pPr>
        </w:p>
        <w:p w14:paraId="00AD4F45" w14:textId="77777777" w:rsidR="00AB78F7" w:rsidRPr="00DC4478" w:rsidRDefault="00AB78F7" w:rsidP="00AB78F7">
          <w:pPr>
            <w:pStyle w:val="Header"/>
            <w:tabs>
              <w:tab w:val="left" w:pos="7566"/>
              <w:tab w:val="right" w:pos="9020"/>
            </w:tabs>
            <w:ind w:left="-390"/>
            <w:jc w:val="center"/>
            <w:rPr>
              <w:sz w:val="20"/>
              <w:szCs w:val="20"/>
            </w:rPr>
          </w:pPr>
          <w:r w:rsidRPr="00C82CEA">
            <w:rPr>
              <w:sz w:val="22"/>
              <w:szCs w:val="22"/>
            </w:rPr>
            <w:t xml:space="preserve">       </w:t>
          </w:r>
          <w:r w:rsidRPr="00DC4478">
            <w:rPr>
              <w:sz w:val="20"/>
              <w:szCs w:val="20"/>
            </w:rPr>
            <w:t>https://www.rjupublisher.com/ojs/index.php/RJHS</w:t>
          </w:r>
        </w:p>
        <w:p w14:paraId="13C6B920" w14:textId="77777777" w:rsidR="00AB78F7" w:rsidRDefault="00AB78F7" w:rsidP="00AB78F7">
          <w:pPr>
            <w:jc w:val="center"/>
            <w:rPr>
              <w:rFonts w:ascii="Book Antiqua" w:eastAsia="Book Antiqua" w:hAnsi="Book Antiqua" w:cs="Book Antiqua"/>
            </w:rPr>
          </w:pPr>
        </w:p>
      </w:tc>
      <w:tc>
        <w:tcPr>
          <w:tcW w:w="1853" w:type="dxa"/>
        </w:tcPr>
        <w:p w14:paraId="49B8B6CD" w14:textId="77777777" w:rsidR="00AB78F7" w:rsidRDefault="00AB78F7" w:rsidP="00AB78F7">
          <w:pPr>
            <w:pBdr>
              <w:top w:val="nil"/>
              <w:left w:val="nil"/>
              <w:bottom w:val="nil"/>
              <w:right w:val="nil"/>
              <w:between w:val="nil"/>
            </w:pBdr>
            <w:tabs>
              <w:tab w:val="center" w:pos="4320"/>
              <w:tab w:val="right" w:pos="8640"/>
              <w:tab w:val="left" w:pos="7566"/>
              <w:tab w:val="right" w:pos="9020"/>
            </w:tabs>
            <w:jc w:val="right"/>
            <w:rPr>
              <w:rFonts w:ascii="Avenir" w:eastAsia="Avenir" w:hAnsi="Avenir" w:cs="Avenir"/>
              <w:color w:val="000000"/>
            </w:rPr>
          </w:pPr>
          <w:r>
            <w:rPr>
              <w:noProof/>
            </w:rPr>
            <w:drawing>
              <wp:anchor distT="0" distB="0" distL="114300" distR="114300" simplePos="0" relativeHeight="251659264" behindDoc="0" locked="0" layoutInCell="1" allowOverlap="1" wp14:anchorId="1292F977" wp14:editId="2B790C9E">
                <wp:simplePos x="0" y="0"/>
                <wp:positionH relativeFrom="column">
                  <wp:posOffset>-73025</wp:posOffset>
                </wp:positionH>
                <wp:positionV relativeFrom="paragraph">
                  <wp:posOffset>35560</wp:posOffset>
                </wp:positionV>
                <wp:extent cx="1014095" cy="955040"/>
                <wp:effectExtent l="0" t="0" r="0" b="0"/>
                <wp:wrapNone/>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14095" cy="955040"/>
                        </a:xfrm>
                        <a:prstGeom prst="rect">
                          <a:avLst/>
                        </a:prstGeom>
                        <a:noFill/>
                        <a:ln>
                          <a:noFill/>
                        </a:ln>
                      </pic:spPr>
                    </pic:pic>
                  </a:graphicData>
                </a:graphic>
                <wp14:sizeRelH relativeFrom="page">
                  <wp14:pctWidth>0</wp14:pctWidth>
                </wp14:sizeRelH>
                <wp14:sizeRelV relativeFrom="page">
                  <wp14:pctHeight>0</wp14:pctHeight>
                </wp14:sizeRelV>
              </wp:anchor>
            </w:drawing>
          </w:r>
        </w:p>
      </w:tc>
    </w:tr>
    <w:bookmarkEnd w:id="2"/>
  </w:tbl>
  <w:p w14:paraId="55C4C109" w14:textId="2B75D235" w:rsidR="002076A1" w:rsidRPr="00AD71E8" w:rsidRDefault="002076A1" w:rsidP="00AD71E8">
    <w:pPr>
      <w:pStyle w:val="Header"/>
      <w:tabs>
        <w:tab w:val="left" w:pos="7566"/>
        <w:tab w:val="right" w:pos="9020"/>
      </w:tabs>
      <w:rPr>
        <w:rFonts w:ascii="Avenir Black" w:hAnsi="Avenir Black"/>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8"/>
    <w:multiLevelType w:val="multilevel"/>
    <w:tmpl w:val="894EE87A"/>
    <w:lvl w:ilvl="0">
      <w:start w:val="1"/>
      <w:numFmt w:val="lowerLetter"/>
      <w:lvlText w:val="%1."/>
      <w:lvlJc w:val="left"/>
      <w:pPr>
        <w:tabs>
          <w:tab w:val="num" w:pos="360"/>
        </w:tabs>
        <w:ind w:left="360" w:firstLine="360"/>
      </w:pPr>
      <w:rPr>
        <w:rFonts w:hint="default"/>
        <w:color w:val="000000"/>
        <w:position w:val="0"/>
        <w:sz w:val="20"/>
      </w:rPr>
    </w:lvl>
    <w:lvl w:ilvl="1">
      <w:start w:val="1"/>
      <w:numFmt w:val="lowerLetter"/>
      <w:lvlText w:val="%2."/>
      <w:lvlJc w:val="left"/>
      <w:pPr>
        <w:tabs>
          <w:tab w:val="num" w:pos="360"/>
        </w:tabs>
        <w:ind w:left="360" w:firstLine="1080"/>
      </w:pPr>
      <w:rPr>
        <w:rFonts w:hint="default"/>
        <w:color w:val="000000"/>
        <w:position w:val="0"/>
        <w:sz w:val="20"/>
      </w:rPr>
    </w:lvl>
    <w:lvl w:ilvl="2">
      <w:start w:val="1"/>
      <w:numFmt w:val="lowerRoman"/>
      <w:lvlText w:val="%3."/>
      <w:lvlJc w:val="left"/>
      <w:pPr>
        <w:tabs>
          <w:tab w:val="num" w:pos="340"/>
        </w:tabs>
        <w:ind w:left="340" w:firstLine="1820"/>
      </w:pPr>
      <w:rPr>
        <w:rFonts w:hint="default"/>
        <w:color w:val="000000"/>
        <w:position w:val="0"/>
        <w:sz w:val="20"/>
      </w:rPr>
    </w:lvl>
    <w:lvl w:ilvl="3">
      <w:start w:val="1"/>
      <w:numFmt w:val="decimal"/>
      <w:isLgl/>
      <w:lvlText w:val="%4."/>
      <w:lvlJc w:val="left"/>
      <w:pPr>
        <w:tabs>
          <w:tab w:val="num" w:pos="360"/>
        </w:tabs>
        <w:ind w:left="360" w:firstLine="2520"/>
      </w:pPr>
      <w:rPr>
        <w:rFonts w:hint="default"/>
        <w:color w:val="000000"/>
        <w:position w:val="0"/>
        <w:sz w:val="20"/>
      </w:rPr>
    </w:lvl>
    <w:lvl w:ilvl="4">
      <w:start w:val="1"/>
      <w:numFmt w:val="lowerLetter"/>
      <w:lvlText w:val="%5."/>
      <w:lvlJc w:val="left"/>
      <w:pPr>
        <w:tabs>
          <w:tab w:val="num" w:pos="360"/>
        </w:tabs>
        <w:ind w:left="360" w:firstLine="3240"/>
      </w:pPr>
      <w:rPr>
        <w:rFonts w:hint="default"/>
        <w:color w:val="000000"/>
        <w:position w:val="0"/>
        <w:sz w:val="20"/>
      </w:rPr>
    </w:lvl>
    <w:lvl w:ilvl="5">
      <w:start w:val="1"/>
      <w:numFmt w:val="lowerRoman"/>
      <w:lvlText w:val="%6."/>
      <w:lvlJc w:val="left"/>
      <w:pPr>
        <w:tabs>
          <w:tab w:val="num" w:pos="340"/>
        </w:tabs>
        <w:ind w:left="340" w:firstLine="3980"/>
      </w:pPr>
      <w:rPr>
        <w:rFonts w:hint="default"/>
        <w:color w:val="000000"/>
        <w:position w:val="0"/>
        <w:sz w:val="20"/>
      </w:rPr>
    </w:lvl>
    <w:lvl w:ilvl="6">
      <w:start w:val="1"/>
      <w:numFmt w:val="decimal"/>
      <w:isLgl/>
      <w:lvlText w:val="%7."/>
      <w:lvlJc w:val="left"/>
      <w:pPr>
        <w:tabs>
          <w:tab w:val="num" w:pos="360"/>
        </w:tabs>
        <w:ind w:left="360" w:firstLine="4680"/>
      </w:pPr>
      <w:rPr>
        <w:rFonts w:hint="default"/>
        <w:color w:val="000000"/>
        <w:position w:val="0"/>
        <w:sz w:val="20"/>
      </w:rPr>
    </w:lvl>
    <w:lvl w:ilvl="7">
      <w:start w:val="1"/>
      <w:numFmt w:val="lowerLetter"/>
      <w:lvlText w:val="%8."/>
      <w:lvlJc w:val="left"/>
      <w:pPr>
        <w:tabs>
          <w:tab w:val="num" w:pos="360"/>
        </w:tabs>
        <w:ind w:left="360" w:firstLine="5400"/>
      </w:pPr>
      <w:rPr>
        <w:rFonts w:hint="default"/>
        <w:color w:val="000000"/>
        <w:position w:val="0"/>
        <w:sz w:val="20"/>
      </w:rPr>
    </w:lvl>
    <w:lvl w:ilvl="8">
      <w:start w:val="1"/>
      <w:numFmt w:val="lowerRoman"/>
      <w:lvlText w:val="%9."/>
      <w:lvlJc w:val="left"/>
      <w:pPr>
        <w:tabs>
          <w:tab w:val="num" w:pos="340"/>
        </w:tabs>
        <w:ind w:left="340" w:firstLine="6140"/>
      </w:pPr>
      <w:rPr>
        <w:rFonts w:hint="default"/>
        <w:color w:val="000000"/>
        <w:position w:val="0"/>
        <w:sz w:val="20"/>
      </w:rPr>
    </w:lvl>
  </w:abstractNum>
  <w:abstractNum w:abstractNumId="1" w15:restartNumberingAfterBreak="0">
    <w:nsid w:val="04990BB2"/>
    <w:multiLevelType w:val="hybridMultilevel"/>
    <w:tmpl w:val="B592135C"/>
    <w:lvl w:ilvl="0" w:tplc="0409000F">
      <w:start w:val="1"/>
      <w:numFmt w:val="decimal"/>
      <w:lvlText w:val="%1."/>
      <w:lvlJc w:val="lef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 w15:restartNumberingAfterBreak="0">
    <w:nsid w:val="27AC1D67"/>
    <w:multiLevelType w:val="hybridMultilevel"/>
    <w:tmpl w:val="85E887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18868BB"/>
    <w:multiLevelType w:val="hybridMultilevel"/>
    <w:tmpl w:val="CED8D3F4"/>
    <w:lvl w:ilvl="0" w:tplc="04090019">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38ED1536"/>
    <w:multiLevelType w:val="hybridMultilevel"/>
    <w:tmpl w:val="F91AE7E2"/>
    <w:lvl w:ilvl="0" w:tplc="8D64D5E0">
      <w:start w:val="1"/>
      <w:numFmt w:val="decimal"/>
      <w:lvlText w:val="[%1]"/>
      <w:lvlJc w:val="left"/>
      <w:pPr>
        <w:ind w:left="2070" w:hanging="360"/>
      </w:pPr>
      <w:rPr>
        <w:rFonts w:hint="default"/>
      </w:rPr>
    </w:lvl>
    <w:lvl w:ilvl="1" w:tplc="04210019" w:tentative="1">
      <w:start w:val="1"/>
      <w:numFmt w:val="lowerLetter"/>
      <w:lvlText w:val="%2."/>
      <w:lvlJc w:val="left"/>
      <w:pPr>
        <w:ind w:left="3960" w:hanging="360"/>
      </w:pPr>
    </w:lvl>
    <w:lvl w:ilvl="2" w:tplc="0421001B" w:tentative="1">
      <w:start w:val="1"/>
      <w:numFmt w:val="lowerRoman"/>
      <w:lvlText w:val="%3."/>
      <w:lvlJc w:val="right"/>
      <w:pPr>
        <w:ind w:left="4680" w:hanging="180"/>
      </w:pPr>
    </w:lvl>
    <w:lvl w:ilvl="3" w:tplc="0421000F" w:tentative="1">
      <w:start w:val="1"/>
      <w:numFmt w:val="decimal"/>
      <w:lvlText w:val="%4."/>
      <w:lvlJc w:val="left"/>
      <w:pPr>
        <w:ind w:left="5400" w:hanging="360"/>
      </w:pPr>
    </w:lvl>
    <w:lvl w:ilvl="4" w:tplc="04210019" w:tentative="1">
      <w:start w:val="1"/>
      <w:numFmt w:val="lowerLetter"/>
      <w:lvlText w:val="%5."/>
      <w:lvlJc w:val="left"/>
      <w:pPr>
        <w:ind w:left="6120" w:hanging="360"/>
      </w:pPr>
    </w:lvl>
    <w:lvl w:ilvl="5" w:tplc="0421001B" w:tentative="1">
      <w:start w:val="1"/>
      <w:numFmt w:val="lowerRoman"/>
      <w:lvlText w:val="%6."/>
      <w:lvlJc w:val="right"/>
      <w:pPr>
        <w:ind w:left="6840" w:hanging="180"/>
      </w:pPr>
    </w:lvl>
    <w:lvl w:ilvl="6" w:tplc="0421000F" w:tentative="1">
      <w:start w:val="1"/>
      <w:numFmt w:val="decimal"/>
      <w:lvlText w:val="%7."/>
      <w:lvlJc w:val="left"/>
      <w:pPr>
        <w:ind w:left="7560" w:hanging="360"/>
      </w:pPr>
    </w:lvl>
    <w:lvl w:ilvl="7" w:tplc="04210019" w:tentative="1">
      <w:start w:val="1"/>
      <w:numFmt w:val="lowerLetter"/>
      <w:lvlText w:val="%8."/>
      <w:lvlJc w:val="left"/>
      <w:pPr>
        <w:ind w:left="8280" w:hanging="360"/>
      </w:pPr>
    </w:lvl>
    <w:lvl w:ilvl="8" w:tplc="0421001B" w:tentative="1">
      <w:start w:val="1"/>
      <w:numFmt w:val="lowerRoman"/>
      <w:lvlText w:val="%9."/>
      <w:lvlJc w:val="right"/>
      <w:pPr>
        <w:ind w:left="9000" w:hanging="180"/>
      </w:pPr>
    </w:lvl>
  </w:abstractNum>
  <w:abstractNum w:abstractNumId="5" w15:restartNumberingAfterBreak="0">
    <w:nsid w:val="43DE5F3B"/>
    <w:multiLevelType w:val="multilevel"/>
    <w:tmpl w:val="3B767A4E"/>
    <w:lvl w:ilvl="0">
      <w:start w:val="1"/>
      <w:numFmt w:val="decimal"/>
      <w:lvlText w:val="%1."/>
      <w:lvlJc w:val="left"/>
      <w:pPr>
        <w:ind w:left="720" w:hanging="360"/>
      </w:pPr>
      <w:rPr>
        <w:color w:val="000000"/>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4ACB0B15"/>
    <w:multiLevelType w:val="multilevel"/>
    <w:tmpl w:val="6EEAAA9A"/>
    <w:lvl w:ilvl="0">
      <w:start w:val="1"/>
      <w:numFmt w:val="decimal"/>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0C02260"/>
    <w:multiLevelType w:val="multilevel"/>
    <w:tmpl w:val="2AC422BC"/>
    <w:lvl w:ilvl="0">
      <w:start w:val="1"/>
      <w:numFmt w:val="decimal"/>
      <w:lvlText w:val="%1."/>
      <w:lvlJc w:val="left"/>
      <w:pPr>
        <w:tabs>
          <w:tab w:val="num" w:pos="720"/>
        </w:tabs>
        <w:ind w:left="720" w:hanging="360"/>
      </w:pPr>
      <w:rPr>
        <w:rFonts w:ascii="Times New Roman" w:eastAsia="Times New Roman" w:hAnsi="Times New Roman" w:cs="Times New Roman"/>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9560C99"/>
    <w:multiLevelType w:val="multilevel"/>
    <w:tmpl w:val="A5A42C6C"/>
    <w:lvl w:ilvl="0">
      <w:start w:val="1"/>
      <w:numFmt w:val="decimal"/>
      <w:lvlText w:val="%1."/>
      <w:lvlJc w:val="left"/>
      <w:pPr>
        <w:tabs>
          <w:tab w:val="num" w:pos="720"/>
        </w:tabs>
        <w:ind w:left="720" w:hanging="360"/>
      </w:pPr>
      <w:rPr>
        <w:rFonts w:ascii="Times New Roman" w:eastAsiaTheme="majorEastAsia" w:hAnsi="Times New Roman" w:cs="Times New Roman"/>
        <w:b w:val="0"/>
        <w:bCs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D303282"/>
    <w:multiLevelType w:val="hybridMultilevel"/>
    <w:tmpl w:val="A03475E2"/>
    <w:lvl w:ilvl="0" w:tplc="04244EA2">
      <w:start w:val="1"/>
      <w:numFmt w:val="decimal"/>
      <w:lvlText w:val="%1."/>
      <w:lvlJc w:val="left"/>
      <w:pPr>
        <w:ind w:left="431" w:hanging="360"/>
        <w:jc w:val="left"/>
      </w:pPr>
      <w:rPr>
        <w:rFonts w:ascii="Times New Roman" w:eastAsia="Times New Roman" w:hAnsi="Times New Roman" w:cs="Times New Roman" w:hint="default"/>
        <w:b w:val="0"/>
        <w:bCs w:val="0"/>
        <w:i w:val="0"/>
        <w:iCs w:val="0"/>
        <w:spacing w:val="0"/>
        <w:w w:val="100"/>
        <w:sz w:val="24"/>
        <w:szCs w:val="24"/>
        <w:lang w:val="id" w:eastAsia="en-US" w:bidi="ar-SA"/>
      </w:rPr>
    </w:lvl>
    <w:lvl w:ilvl="1" w:tplc="FD4A95FE">
      <w:numFmt w:val="bullet"/>
      <w:lvlText w:val="•"/>
      <w:lvlJc w:val="left"/>
      <w:pPr>
        <w:ind w:left="1112" w:hanging="360"/>
      </w:pPr>
      <w:rPr>
        <w:rFonts w:hint="default"/>
        <w:lang w:val="id" w:eastAsia="en-US" w:bidi="ar-SA"/>
      </w:rPr>
    </w:lvl>
    <w:lvl w:ilvl="2" w:tplc="9744A3F2">
      <w:numFmt w:val="bullet"/>
      <w:lvlText w:val="•"/>
      <w:lvlJc w:val="left"/>
      <w:pPr>
        <w:ind w:left="1785" w:hanging="360"/>
      </w:pPr>
      <w:rPr>
        <w:rFonts w:hint="default"/>
        <w:lang w:val="id" w:eastAsia="en-US" w:bidi="ar-SA"/>
      </w:rPr>
    </w:lvl>
    <w:lvl w:ilvl="3" w:tplc="01DCAEC6">
      <w:numFmt w:val="bullet"/>
      <w:lvlText w:val="•"/>
      <w:lvlJc w:val="left"/>
      <w:pPr>
        <w:ind w:left="2457" w:hanging="360"/>
      </w:pPr>
      <w:rPr>
        <w:rFonts w:hint="default"/>
        <w:lang w:val="id" w:eastAsia="en-US" w:bidi="ar-SA"/>
      </w:rPr>
    </w:lvl>
    <w:lvl w:ilvl="4" w:tplc="619AE16E">
      <w:numFmt w:val="bullet"/>
      <w:lvlText w:val="•"/>
      <w:lvlJc w:val="left"/>
      <w:pPr>
        <w:ind w:left="3129" w:hanging="360"/>
      </w:pPr>
      <w:rPr>
        <w:rFonts w:hint="default"/>
        <w:lang w:val="id" w:eastAsia="en-US" w:bidi="ar-SA"/>
      </w:rPr>
    </w:lvl>
    <w:lvl w:ilvl="5" w:tplc="DC7E5920">
      <w:numFmt w:val="bullet"/>
      <w:lvlText w:val="•"/>
      <w:lvlJc w:val="left"/>
      <w:pPr>
        <w:ind w:left="3802" w:hanging="360"/>
      </w:pPr>
      <w:rPr>
        <w:rFonts w:hint="default"/>
        <w:lang w:val="id" w:eastAsia="en-US" w:bidi="ar-SA"/>
      </w:rPr>
    </w:lvl>
    <w:lvl w:ilvl="6" w:tplc="BAC8FE3C">
      <w:numFmt w:val="bullet"/>
      <w:lvlText w:val="•"/>
      <w:lvlJc w:val="left"/>
      <w:pPr>
        <w:ind w:left="4474" w:hanging="360"/>
      </w:pPr>
      <w:rPr>
        <w:rFonts w:hint="default"/>
        <w:lang w:val="id" w:eastAsia="en-US" w:bidi="ar-SA"/>
      </w:rPr>
    </w:lvl>
    <w:lvl w:ilvl="7" w:tplc="E5E627A0">
      <w:numFmt w:val="bullet"/>
      <w:lvlText w:val="•"/>
      <w:lvlJc w:val="left"/>
      <w:pPr>
        <w:ind w:left="5147" w:hanging="360"/>
      </w:pPr>
      <w:rPr>
        <w:rFonts w:hint="default"/>
        <w:lang w:val="id" w:eastAsia="en-US" w:bidi="ar-SA"/>
      </w:rPr>
    </w:lvl>
    <w:lvl w:ilvl="8" w:tplc="865E4E5C">
      <w:numFmt w:val="bullet"/>
      <w:lvlText w:val="•"/>
      <w:lvlJc w:val="left"/>
      <w:pPr>
        <w:ind w:left="5819" w:hanging="360"/>
      </w:pPr>
      <w:rPr>
        <w:rFonts w:hint="default"/>
        <w:lang w:val="id" w:eastAsia="en-US" w:bidi="ar-SA"/>
      </w:rPr>
    </w:lvl>
  </w:abstractNum>
  <w:abstractNum w:abstractNumId="10" w15:restartNumberingAfterBreak="0">
    <w:nsid w:val="604A48D0"/>
    <w:multiLevelType w:val="hybridMultilevel"/>
    <w:tmpl w:val="F4E6BDC8"/>
    <w:lvl w:ilvl="0" w:tplc="40987FC4">
      <w:start w:val="1"/>
      <w:numFmt w:val="decimal"/>
      <w:lvlText w:val="%1."/>
      <w:lvlJc w:val="left"/>
      <w:pPr>
        <w:ind w:left="720" w:hanging="360"/>
      </w:pPr>
      <w:rPr>
        <w:rFonts w:hint="default"/>
        <w:color w:val="auto"/>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4BF4A80"/>
    <w:multiLevelType w:val="hybridMultilevel"/>
    <w:tmpl w:val="673E4BD0"/>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2" w15:restartNumberingAfterBreak="0">
    <w:nsid w:val="69430213"/>
    <w:multiLevelType w:val="hybridMultilevel"/>
    <w:tmpl w:val="D7D475D8"/>
    <w:lvl w:ilvl="0" w:tplc="6134A56E">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3" w15:restartNumberingAfterBreak="0">
    <w:nsid w:val="7FBC3022"/>
    <w:multiLevelType w:val="multilevel"/>
    <w:tmpl w:val="FC0CDDAE"/>
    <w:lvl w:ilvl="0">
      <w:start w:val="1"/>
      <w:numFmt w:val="decimal"/>
      <w:lvlText w:val="%1."/>
      <w:lvlJc w:val="left"/>
      <w:pPr>
        <w:tabs>
          <w:tab w:val="num" w:pos="720"/>
        </w:tabs>
        <w:ind w:left="720" w:hanging="360"/>
      </w:pPr>
      <w:rPr>
        <w:rFonts w:ascii="Times New Roman" w:eastAsiaTheme="majorEastAsia" w:hAnsi="Times New Roman" w:cs="Times New Roman"/>
        <w:b w:val="0"/>
        <w:bCs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601329285">
    <w:abstractNumId w:val="0"/>
  </w:num>
  <w:num w:numId="2" w16cid:durableId="1666665635">
    <w:abstractNumId w:val="3"/>
  </w:num>
  <w:num w:numId="3" w16cid:durableId="2041127397">
    <w:abstractNumId w:val="10"/>
  </w:num>
  <w:num w:numId="4" w16cid:durableId="1712336461">
    <w:abstractNumId w:val="11"/>
  </w:num>
  <w:num w:numId="5" w16cid:durableId="1759402484">
    <w:abstractNumId w:val="2"/>
  </w:num>
  <w:num w:numId="6" w16cid:durableId="1927417433">
    <w:abstractNumId w:val="4"/>
  </w:num>
  <w:num w:numId="7" w16cid:durableId="2021395609">
    <w:abstractNumId w:val="1"/>
  </w:num>
  <w:num w:numId="8" w16cid:durableId="18624871">
    <w:abstractNumId w:val="5"/>
  </w:num>
  <w:num w:numId="9" w16cid:durableId="99498814">
    <w:abstractNumId w:val="12"/>
  </w:num>
  <w:num w:numId="10" w16cid:durableId="1879080476">
    <w:abstractNumId w:val="9"/>
  </w:num>
  <w:num w:numId="11" w16cid:durableId="669525970">
    <w:abstractNumId w:val="7"/>
  </w:num>
  <w:num w:numId="12" w16cid:durableId="1996182798">
    <w:abstractNumId w:val="6"/>
  </w:num>
  <w:num w:numId="13" w16cid:durableId="1987590966">
    <w:abstractNumId w:val="13"/>
  </w:num>
  <w:num w:numId="14" w16cid:durableId="10724468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hdrShapeDefaults>
    <o:shapedefaults v:ext="edit" spidmax="2050">
      <o:colormru v:ext="edit" colors="#29679f,#3e688a,#447188"/>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4C0E"/>
    <w:rsid w:val="00005061"/>
    <w:rsid w:val="00007163"/>
    <w:rsid w:val="00011C42"/>
    <w:rsid w:val="0001490C"/>
    <w:rsid w:val="000239AB"/>
    <w:rsid w:val="0003684F"/>
    <w:rsid w:val="0004500D"/>
    <w:rsid w:val="0004573D"/>
    <w:rsid w:val="00050F5F"/>
    <w:rsid w:val="00054C94"/>
    <w:rsid w:val="00056772"/>
    <w:rsid w:val="000679B8"/>
    <w:rsid w:val="000702F6"/>
    <w:rsid w:val="000829FE"/>
    <w:rsid w:val="00084B9D"/>
    <w:rsid w:val="00085B45"/>
    <w:rsid w:val="00086344"/>
    <w:rsid w:val="000921F5"/>
    <w:rsid w:val="000A35AF"/>
    <w:rsid w:val="000A4990"/>
    <w:rsid w:val="000A6213"/>
    <w:rsid w:val="000B2D47"/>
    <w:rsid w:val="000C3C85"/>
    <w:rsid w:val="000D53CB"/>
    <w:rsid w:val="000F40AA"/>
    <w:rsid w:val="000F5FAB"/>
    <w:rsid w:val="000F7272"/>
    <w:rsid w:val="00101F25"/>
    <w:rsid w:val="001054E9"/>
    <w:rsid w:val="0010771B"/>
    <w:rsid w:val="001158A6"/>
    <w:rsid w:val="001301A4"/>
    <w:rsid w:val="001315F0"/>
    <w:rsid w:val="00144320"/>
    <w:rsid w:val="00145228"/>
    <w:rsid w:val="00146582"/>
    <w:rsid w:val="00150925"/>
    <w:rsid w:val="001518C8"/>
    <w:rsid w:val="001520B1"/>
    <w:rsid w:val="001562C8"/>
    <w:rsid w:val="00157EE4"/>
    <w:rsid w:val="001609C1"/>
    <w:rsid w:val="00163BE4"/>
    <w:rsid w:val="0017024C"/>
    <w:rsid w:val="0017096A"/>
    <w:rsid w:val="0017414D"/>
    <w:rsid w:val="00175907"/>
    <w:rsid w:val="00177D6D"/>
    <w:rsid w:val="00184ED3"/>
    <w:rsid w:val="001901DB"/>
    <w:rsid w:val="00192A1D"/>
    <w:rsid w:val="001A407D"/>
    <w:rsid w:val="001B0E78"/>
    <w:rsid w:val="001C480C"/>
    <w:rsid w:val="001C6AC6"/>
    <w:rsid w:val="001D7A3D"/>
    <w:rsid w:val="001D7CA6"/>
    <w:rsid w:val="001E0531"/>
    <w:rsid w:val="001E3D8F"/>
    <w:rsid w:val="001E55B1"/>
    <w:rsid w:val="001E7235"/>
    <w:rsid w:val="001F002D"/>
    <w:rsid w:val="001F5286"/>
    <w:rsid w:val="002022FB"/>
    <w:rsid w:val="00205301"/>
    <w:rsid w:val="002076A1"/>
    <w:rsid w:val="0021217E"/>
    <w:rsid w:val="0021271B"/>
    <w:rsid w:val="0022160B"/>
    <w:rsid w:val="0022198B"/>
    <w:rsid w:val="00221E42"/>
    <w:rsid w:val="00223E2E"/>
    <w:rsid w:val="00226E49"/>
    <w:rsid w:val="00227FB3"/>
    <w:rsid w:val="00236724"/>
    <w:rsid w:val="00245F4C"/>
    <w:rsid w:val="00245F83"/>
    <w:rsid w:val="00251933"/>
    <w:rsid w:val="00255659"/>
    <w:rsid w:val="00256531"/>
    <w:rsid w:val="00265C52"/>
    <w:rsid w:val="0027481D"/>
    <w:rsid w:val="00276D5F"/>
    <w:rsid w:val="00281B5F"/>
    <w:rsid w:val="00286DBB"/>
    <w:rsid w:val="002970F5"/>
    <w:rsid w:val="002A30AA"/>
    <w:rsid w:val="002A4684"/>
    <w:rsid w:val="002A5436"/>
    <w:rsid w:val="002A5615"/>
    <w:rsid w:val="002B029F"/>
    <w:rsid w:val="002B4F1C"/>
    <w:rsid w:val="002B53A9"/>
    <w:rsid w:val="002C0584"/>
    <w:rsid w:val="002C2506"/>
    <w:rsid w:val="002C3B4D"/>
    <w:rsid w:val="002C3BE0"/>
    <w:rsid w:val="002C4D21"/>
    <w:rsid w:val="002D76C8"/>
    <w:rsid w:val="002E1AB0"/>
    <w:rsid w:val="002E3AD1"/>
    <w:rsid w:val="002E6DA2"/>
    <w:rsid w:val="002F4126"/>
    <w:rsid w:val="002F5B8D"/>
    <w:rsid w:val="003048EB"/>
    <w:rsid w:val="00305EAC"/>
    <w:rsid w:val="00313283"/>
    <w:rsid w:val="00315725"/>
    <w:rsid w:val="00315C58"/>
    <w:rsid w:val="00316CD5"/>
    <w:rsid w:val="00331365"/>
    <w:rsid w:val="003352E8"/>
    <w:rsid w:val="0033640B"/>
    <w:rsid w:val="00340E1D"/>
    <w:rsid w:val="003451C6"/>
    <w:rsid w:val="00346118"/>
    <w:rsid w:val="00361B1A"/>
    <w:rsid w:val="0036420B"/>
    <w:rsid w:val="00366132"/>
    <w:rsid w:val="00366E0E"/>
    <w:rsid w:val="00367A76"/>
    <w:rsid w:val="00367C9F"/>
    <w:rsid w:val="003776F6"/>
    <w:rsid w:val="003778C4"/>
    <w:rsid w:val="003847FE"/>
    <w:rsid w:val="00385774"/>
    <w:rsid w:val="003906C2"/>
    <w:rsid w:val="00397A5F"/>
    <w:rsid w:val="003A2DE8"/>
    <w:rsid w:val="003B530E"/>
    <w:rsid w:val="003E2562"/>
    <w:rsid w:val="003E2BCC"/>
    <w:rsid w:val="003E5586"/>
    <w:rsid w:val="003E5733"/>
    <w:rsid w:val="003F5CBE"/>
    <w:rsid w:val="003F62A0"/>
    <w:rsid w:val="003F68AB"/>
    <w:rsid w:val="0040106C"/>
    <w:rsid w:val="00401B52"/>
    <w:rsid w:val="00402986"/>
    <w:rsid w:val="004046FF"/>
    <w:rsid w:val="0040725F"/>
    <w:rsid w:val="00427243"/>
    <w:rsid w:val="0043367B"/>
    <w:rsid w:val="004337DE"/>
    <w:rsid w:val="00443238"/>
    <w:rsid w:val="00464FB3"/>
    <w:rsid w:val="00471A4A"/>
    <w:rsid w:val="0048214E"/>
    <w:rsid w:val="00491C66"/>
    <w:rsid w:val="004A7044"/>
    <w:rsid w:val="004B022B"/>
    <w:rsid w:val="004B161B"/>
    <w:rsid w:val="004B2F78"/>
    <w:rsid w:val="004B36EA"/>
    <w:rsid w:val="004B6F4D"/>
    <w:rsid w:val="004C2FD2"/>
    <w:rsid w:val="004C6F7C"/>
    <w:rsid w:val="004D11FB"/>
    <w:rsid w:val="004D1BFA"/>
    <w:rsid w:val="004D255F"/>
    <w:rsid w:val="004E506C"/>
    <w:rsid w:val="004E796A"/>
    <w:rsid w:val="004F139D"/>
    <w:rsid w:val="004F22A3"/>
    <w:rsid w:val="004F4E3E"/>
    <w:rsid w:val="00502490"/>
    <w:rsid w:val="00510900"/>
    <w:rsid w:val="00512CA1"/>
    <w:rsid w:val="00512D3B"/>
    <w:rsid w:val="00524E03"/>
    <w:rsid w:val="00530252"/>
    <w:rsid w:val="00532219"/>
    <w:rsid w:val="0053436A"/>
    <w:rsid w:val="00537AC8"/>
    <w:rsid w:val="005411CC"/>
    <w:rsid w:val="0054343D"/>
    <w:rsid w:val="0055713B"/>
    <w:rsid w:val="005638D2"/>
    <w:rsid w:val="00565553"/>
    <w:rsid w:val="00575E58"/>
    <w:rsid w:val="00577313"/>
    <w:rsid w:val="00580595"/>
    <w:rsid w:val="005851AF"/>
    <w:rsid w:val="005A36E6"/>
    <w:rsid w:val="005B23C1"/>
    <w:rsid w:val="005B6F2A"/>
    <w:rsid w:val="005B7B69"/>
    <w:rsid w:val="005D76DE"/>
    <w:rsid w:val="005E2790"/>
    <w:rsid w:val="005F1A87"/>
    <w:rsid w:val="005F74AD"/>
    <w:rsid w:val="0060494A"/>
    <w:rsid w:val="00606911"/>
    <w:rsid w:val="00613245"/>
    <w:rsid w:val="00626153"/>
    <w:rsid w:val="00630C8E"/>
    <w:rsid w:val="00631BED"/>
    <w:rsid w:val="00644A88"/>
    <w:rsid w:val="00657AA1"/>
    <w:rsid w:val="00662EDA"/>
    <w:rsid w:val="00663D66"/>
    <w:rsid w:val="00665886"/>
    <w:rsid w:val="00684E3D"/>
    <w:rsid w:val="00691D28"/>
    <w:rsid w:val="006A53F2"/>
    <w:rsid w:val="006B2601"/>
    <w:rsid w:val="006C4214"/>
    <w:rsid w:val="006D19AF"/>
    <w:rsid w:val="006E1BDD"/>
    <w:rsid w:val="006E6349"/>
    <w:rsid w:val="006F0BF0"/>
    <w:rsid w:val="006F1E24"/>
    <w:rsid w:val="006F3D3C"/>
    <w:rsid w:val="00726A49"/>
    <w:rsid w:val="00733104"/>
    <w:rsid w:val="00733600"/>
    <w:rsid w:val="007338D9"/>
    <w:rsid w:val="0073409B"/>
    <w:rsid w:val="007363A3"/>
    <w:rsid w:val="00741485"/>
    <w:rsid w:val="00751881"/>
    <w:rsid w:val="0075339A"/>
    <w:rsid w:val="007577E8"/>
    <w:rsid w:val="00767356"/>
    <w:rsid w:val="00780956"/>
    <w:rsid w:val="00781FA0"/>
    <w:rsid w:val="007901B1"/>
    <w:rsid w:val="007A1D24"/>
    <w:rsid w:val="007A414A"/>
    <w:rsid w:val="007B4B8B"/>
    <w:rsid w:val="007C6FC5"/>
    <w:rsid w:val="007D29A8"/>
    <w:rsid w:val="007E0A61"/>
    <w:rsid w:val="007E1FC6"/>
    <w:rsid w:val="007E5D52"/>
    <w:rsid w:val="007E71DC"/>
    <w:rsid w:val="007F1BD1"/>
    <w:rsid w:val="007F48D1"/>
    <w:rsid w:val="007F6D69"/>
    <w:rsid w:val="007F7AD6"/>
    <w:rsid w:val="00800BA3"/>
    <w:rsid w:val="00812E5E"/>
    <w:rsid w:val="00815281"/>
    <w:rsid w:val="00844FD8"/>
    <w:rsid w:val="008465A1"/>
    <w:rsid w:val="008609DD"/>
    <w:rsid w:val="008645DC"/>
    <w:rsid w:val="00866B7F"/>
    <w:rsid w:val="00866CAC"/>
    <w:rsid w:val="00882BBD"/>
    <w:rsid w:val="008834B4"/>
    <w:rsid w:val="00883D5A"/>
    <w:rsid w:val="00885E75"/>
    <w:rsid w:val="008A2A0E"/>
    <w:rsid w:val="008B53CD"/>
    <w:rsid w:val="008C6F30"/>
    <w:rsid w:val="008D2C35"/>
    <w:rsid w:val="008D4473"/>
    <w:rsid w:val="008E0429"/>
    <w:rsid w:val="008E4E59"/>
    <w:rsid w:val="0091041E"/>
    <w:rsid w:val="00916B1D"/>
    <w:rsid w:val="00937447"/>
    <w:rsid w:val="00943EE4"/>
    <w:rsid w:val="009625CD"/>
    <w:rsid w:val="00966E35"/>
    <w:rsid w:val="00971183"/>
    <w:rsid w:val="00971692"/>
    <w:rsid w:val="00984736"/>
    <w:rsid w:val="009A33D8"/>
    <w:rsid w:val="009A5C49"/>
    <w:rsid w:val="009B0A5B"/>
    <w:rsid w:val="009C1F59"/>
    <w:rsid w:val="009D0F14"/>
    <w:rsid w:val="009D1A19"/>
    <w:rsid w:val="009E5ED0"/>
    <w:rsid w:val="00A007B6"/>
    <w:rsid w:val="00A00DF8"/>
    <w:rsid w:val="00A04873"/>
    <w:rsid w:val="00A06250"/>
    <w:rsid w:val="00A06B5C"/>
    <w:rsid w:val="00A1393A"/>
    <w:rsid w:val="00A167AB"/>
    <w:rsid w:val="00A2223F"/>
    <w:rsid w:val="00A27720"/>
    <w:rsid w:val="00A31B34"/>
    <w:rsid w:val="00A35B06"/>
    <w:rsid w:val="00A475B1"/>
    <w:rsid w:val="00A82A47"/>
    <w:rsid w:val="00A8560E"/>
    <w:rsid w:val="00A93AE4"/>
    <w:rsid w:val="00AA4B0E"/>
    <w:rsid w:val="00AA6D5B"/>
    <w:rsid w:val="00AB78F7"/>
    <w:rsid w:val="00AC1883"/>
    <w:rsid w:val="00AD174D"/>
    <w:rsid w:val="00AD4722"/>
    <w:rsid w:val="00AD71E8"/>
    <w:rsid w:val="00AE518B"/>
    <w:rsid w:val="00AE64C4"/>
    <w:rsid w:val="00AE7560"/>
    <w:rsid w:val="00AF0A7D"/>
    <w:rsid w:val="00B04046"/>
    <w:rsid w:val="00B149C7"/>
    <w:rsid w:val="00B21BFE"/>
    <w:rsid w:val="00B30BDF"/>
    <w:rsid w:val="00B327D3"/>
    <w:rsid w:val="00B55EB3"/>
    <w:rsid w:val="00B6355B"/>
    <w:rsid w:val="00B76BEE"/>
    <w:rsid w:val="00B80BB9"/>
    <w:rsid w:val="00B96EB2"/>
    <w:rsid w:val="00BA676C"/>
    <w:rsid w:val="00BA7E19"/>
    <w:rsid w:val="00BB0337"/>
    <w:rsid w:val="00BB187A"/>
    <w:rsid w:val="00BB3B98"/>
    <w:rsid w:val="00BB4976"/>
    <w:rsid w:val="00BB7239"/>
    <w:rsid w:val="00BC14E8"/>
    <w:rsid w:val="00BC1E9F"/>
    <w:rsid w:val="00BC5625"/>
    <w:rsid w:val="00BD7143"/>
    <w:rsid w:val="00BE590D"/>
    <w:rsid w:val="00BF4DAE"/>
    <w:rsid w:val="00C12027"/>
    <w:rsid w:val="00C1211D"/>
    <w:rsid w:val="00C17C98"/>
    <w:rsid w:val="00C20418"/>
    <w:rsid w:val="00C51842"/>
    <w:rsid w:val="00C56BB3"/>
    <w:rsid w:val="00C651A5"/>
    <w:rsid w:val="00C7629F"/>
    <w:rsid w:val="00C828A0"/>
    <w:rsid w:val="00C835AC"/>
    <w:rsid w:val="00C96262"/>
    <w:rsid w:val="00CA3AD9"/>
    <w:rsid w:val="00CB35C4"/>
    <w:rsid w:val="00CB5E92"/>
    <w:rsid w:val="00CB6CB5"/>
    <w:rsid w:val="00CC337A"/>
    <w:rsid w:val="00CC33CD"/>
    <w:rsid w:val="00CC3A26"/>
    <w:rsid w:val="00CD0121"/>
    <w:rsid w:val="00CD1B62"/>
    <w:rsid w:val="00CD3B85"/>
    <w:rsid w:val="00CD4F27"/>
    <w:rsid w:val="00CD548E"/>
    <w:rsid w:val="00CD7DB3"/>
    <w:rsid w:val="00CE6D08"/>
    <w:rsid w:val="00D0294D"/>
    <w:rsid w:val="00D05791"/>
    <w:rsid w:val="00D07236"/>
    <w:rsid w:val="00D10C21"/>
    <w:rsid w:val="00D25933"/>
    <w:rsid w:val="00D36892"/>
    <w:rsid w:val="00D3794A"/>
    <w:rsid w:val="00D46E94"/>
    <w:rsid w:val="00D503AE"/>
    <w:rsid w:val="00D53C77"/>
    <w:rsid w:val="00D56C59"/>
    <w:rsid w:val="00D62FAB"/>
    <w:rsid w:val="00D64056"/>
    <w:rsid w:val="00D73647"/>
    <w:rsid w:val="00D77515"/>
    <w:rsid w:val="00D77B97"/>
    <w:rsid w:val="00D83134"/>
    <w:rsid w:val="00DA3B59"/>
    <w:rsid w:val="00E01684"/>
    <w:rsid w:val="00E01EEE"/>
    <w:rsid w:val="00E03448"/>
    <w:rsid w:val="00E05D72"/>
    <w:rsid w:val="00E11549"/>
    <w:rsid w:val="00E13E10"/>
    <w:rsid w:val="00E258FE"/>
    <w:rsid w:val="00E26CD0"/>
    <w:rsid w:val="00E31D82"/>
    <w:rsid w:val="00E32E01"/>
    <w:rsid w:val="00E33A24"/>
    <w:rsid w:val="00E34C0E"/>
    <w:rsid w:val="00E3655D"/>
    <w:rsid w:val="00E44532"/>
    <w:rsid w:val="00E44E92"/>
    <w:rsid w:val="00E50627"/>
    <w:rsid w:val="00E51DB9"/>
    <w:rsid w:val="00E53660"/>
    <w:rsid w:val="00E562F6"/>
    <w:rsid w:val="00E5773D"/>
    <w:rsid w:val="00E61A8D"/>
    <w:rsid w:val="00E6458E"/>
    <w:rsid w:val="00E65119"/>
    <w:rsid w:val="00E77D94"/>
    <w:rsid w:val="00E838F2"/>
    <w:rsid w:val="00E905A6"/>
    <w:rsid w:val="00E9707A"/>
    <w:rsid w:val="00EA50DE"/>
    <w:rsid w:val="00EA743B"/>
    <w:rsid w:val="00EE0706"/>
    <w:rsid w:val="00EE0BD4"/>
    <w:rsid w:val="00EF037C"/>
    <w:rsid w:val="00EF0E3E"/>
    <w:rsid w:val="00EF26E1"/>
    <w:rsid w:val="00EF5C74"/>
    <w:rsid w:val="00F03839"/>
    <w:rsid w:val="00F14DF5"/>
    <w:rsid w:val="00F154B0"/>
    <w:rsid w:val="00F15C54"/>
    <w:rsid w:val="00F34DEF"/>
    <w:rsid w:val="00F46669"/>
    <w:rsid w:val="00F54EE5"/>
    <w:rsid w:val="00F665D4"/>
    <w:rsid w:val="00F67615"/>
    <w:rsid w:val="00F711D7"/>
    <w:rsid w:val="00F71A34"/>
    <w:rsid w:val="00F73916"/>
    <w:rsid w:val="00F73F53"/>
    <w:rsid w:val="00F7651F"/>
    <w:rsid w:val="00F80588"/>
    <w:rsid w:val="00F81667"/>
    <w:rsid w:val="00F82DB3"/>
    <w:rsid w:val="00F847A4"/>
    <w:rsid w:val="00F87948"/>
    <w:rsid w:val="00F97B99"/>
    <w:rsid w:val="00FA56E2"/>
    <w:rsid w:val="00FB7BBC"/>
    <w:rsid w:val="00FC070B"/>
    <w:rsid w:val="00FC53B6"/>
    <w:rsid w:val="00FC659C"/>
    <w:rsid w:val="00FC6F6C"/>
    <w:rsid w:val="00FD2B02"/>
    <w:rsid w:val="00FD3F12"/>
  </w:rsids>
  <m:mathPr>
    <m:mathFont m:val="Cambria Math"/>
    <m:brkBin m:val="before"/>
    <m:brkBinSub m:val="--"/>
    <m:smallFrac/>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colormru v:ext="edit" colors="#29679f,#3e688a,#447188"/>
    </o:shapedefaults>
    <o:shapelayout v:ext="edit">
      <o:idmap v:ext="edit" data="2"/>
    </o:shapelayout>
  </w:shapeDefaults>
  <w:decimalSymbol w:val="."/>
  <w:listSeparator w:val=","/>
  <w14:docId w14:val="689CF395"/>
  <w15:chartTrackingRefBased/>
  <w15:docId w15:val="{B01C44F0-F8D9-4417-9376-AB605333FC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MS Mincho" w:hAnsi="Times New Roman" w:cs="Times New Roman"/>
        <w:lang w:val="id" w:eastAsia="en-ID"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6D08"/>
    <w:rPr>
      <w:sz w:val="24"/>
      <w:szCs w:val="24"/>
      <w:lang w:eastAsia="en-US"/>
    </w:rPr>
  </w:style>
  <w:style w:type="paragraph" w:styleId="Heading1">
    <w:name w:val="heading 1"/>
    <w:basedOn w:val="Normal"/>
    <w:next w:val="Normal"/>
    <w:link w:val="Heading1Char"/>
    <w:qFormat/>
    <w:rsid w:val="00510900"/>
    <w:pPr>
      <w:keepNext/>
      <w:spacing w:line="480" w:lineRule="auto"/>
      <w:jc w:val="center"/>
      <w:outlineLvl w:val="0"/>
    </w:pPr>
    <w:rPr>
      <w:rFonts w:eastAsia="Times New Roman"/>
      <w:b/>
      <w:bCs/>
      <w:sz w:val="20"/>
      <w:szCs w:val="20"/>
    </w:rPr>
  </w:style>
  <w:style w:type="paragraph" w:styleId="Heading2">
    <w:name w:val="heading 2"/>
    <w:basedOn w:val="Normal"/>
    <w:next w:val="Normal"/>
    <w:link w:val="Heading2Char"/>
    <w:qFormat/>
    <w:rsid w:val="00510900"/>
    <w:pPr>
      <w:keepNext/>
      <w:spacing w:before="240" w:after="60"/>
      <w:outlineLvl w:val="1"/>
    </w:pPr>
    <w:rPr>
      <w:rFonts w:ascii="Arial" w:eastAsia="Times New Roman" w:hAnsi="Arial" w:cs="Arial"/>
      <w:b/>
      <w:bCs/>
      <w:i/>
      <w:iCs/>
      <w:sz w:val="28"/>
      <w:szCs w:val="28"/>
    </w:rPr>
  </w:style>
  <w:style w:type="paragraph" w:styleId="Heading3">
    <w:name w:val="heading 3"/>
    <w:basedOn w:val="Normal"/>
    <w:next w:val="Normal"/>
    <w:link w:val="Heading3Char"/>
    <w:uiPriority w:val="9"/>
    <w:unhideWhenUsed/>
    <w:qFormat/>
    <w:rsid w:val="007E0A61"/>
    <w:pPr>
      <w:keepNext/>
      <w:spacing w:before="240" w:after="60"/>
      <w:outlineLvl w:val="2"/>
    </w:pPr>
    <w:rPr>
      <w:rFonts w:ascii="Calibri Light" w:eastAsia="Times New Roman" w:hAnsi="Calibri Light"/>
      <w:b/>
      <w:bCs/>
      <w:sz w:val="26"/>
      <w:szCs w:val="26"/>
    </w:rPr>
  </w:style>
  <w:style w:type="paragraph" w:styleId="Heading4">
    <w:name w:val="heading 4"/>
    <w:basedOn w:val="Normal"/>
    <w:next w:val="Normal"/>
    <w:link w:val="Heading4Char"/>
    <w:uiPriority w:val="9"/>
    <w:unhideWhenUsed/>
    <w:qFormat/>
    <w:rsid w:val="009A5C49"/>
    <w:pPr>
      <w:keepNext/>
      <w:spacing w:before="240" w:after="60"/>
      <w:outlineLvl w:val="3"/>
    </w:pPr>
    <w:rPr>
      <w:rFonts w:ascii="Calibri" w:eastAsia="Times New Roman" w:hAnsi="Calibri"/>
      <w:b/>
      <w:bCs/>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34C0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834B4"/>
    <w:pPr>
      <w:tabs>
        <w:tab w:val="center" w:pos="4320"/>
        <w:tab w:val="right" w:pos="8640"/>
      </w:tabs>
    </w:pPr>
  </w:style>
  <w:style w:type="character" w:customStyle="1" w:styleId="HeaderChar">
    <w:name w:val="Header Char"/>
    <w:basedOn w:val="DefaultParagraphFont"/>
    <w:link w:val="Header"/>
    <w:uiPriority w:val="99"/>
    <w:rsid w:val="008834B4"/>
  </w:style>
  <w:style w:type="paragraph" w:styleId="Footer">
    <w:name w:val="footer"/>
    <w:basedOn w:val="Normal"/>
    <w:link w:val="FooterChar"/>
    <w:uiPriority w:val="99"/>
    <w:unhideWhenUsed/>
    <w:rsid w:val="008834B4"/>
    <w:pPr>
      <w:tabs>
        <w:tab w:val="center" w:pos="4320"/>
        <w:tab w:val="right" w:pos="8640"/>
      </w:tabs>
    </w:pPr>
  </w:style>
  <w:style w:type="character" w:customStyle="1" w:styleId="FooterChar">
    <w:name w:val="Footer Char"/>
    <w:basedOn w:val="DefaultParagraphFont"/>
    <w:link w:val="Footer"/>
    <w:uiPriority w:val="99"/>
    <w:rsid w:val="008834B4"/>
  </w:style>
  <w:style w:type="paragraph" w:styleId="BalloonText">
    <w:name w:val="Balloon Text"/>
    <w:basedOn w:val="Normal"/>
    <w:link w:val="BalloonTextChar"/>
    <w:uiPriority w:val="99"/>
    <w:semiHidden/>
    <w:unhideWhenUsed/>
    <w:rsid w:val="008834B4"/>
    <w:rPr>
      <w:rFonts w:ascii="Lucida Grande" w:hAnsi="Lucida Grande" w:cs="Lucida Grande"/>
      <w:sz w:val="18"/>
      <w:szCs w:val="18"/>
    </w:rPr>
  </w:style>
  <w:style w:type="character" w:customStyle="1" w:styleId="BalloonTextChar">
    <w:name w:val="Balloon Text Char"/>
    <w:link w:val="BalloonText"/>
    <w:uiPriority w:val="99"/>
    <w:semiHidden/>
    <w:rsid w:val="008834B4"/>
    <w:rPr>
      <w:rFonts w:ascii="Lucida Grande" w:hAnsi="Lucida Grande" w:cs="Lucida Grande"/>
      <w:sz w:val="18"/>
      <w:szCs w:val="18"/>
    </w:rPr>
  </w:style>
  <w:style w:type="paragraph" w:styleId="FootnoteText">
    <w:name w:val="footnote text"/>
    <w:basedOn w:val="Normal"/>
    <w:link w:val="FootnoteTextChar"/>
    <w:uiPriority w:val="99"/>
    <w:unhideWhenUsed/>
    <w:rsid w:val="008834B4"/>
  </w:style>
  <w:style w:type="character" w:customStyle="1" w:styleId="FootnoteTextChar">
    <w:name w:val="Footnote Text Char"/>
    <w:basedOn w:val="DefaultParagraphFont"/>
    <w:link w:val="FootnoteText"/>
    <w:uiPriority w:val="99"/>
    <w:rsid w:val="008834B4"/>
  </w:style>
  <w:style w:type="character" w:styleId="FootnoteReference">
    <w:name w:val="footnote reference"/>
    <w:uiPriority w:val="99"/>
    <w:unhideWhenUsed/>
    <w:rsid w:val="008834B4"/>
    <w:rPr>
      <w:vertAlign w:val="superscript"/>
    </w:rPr>
  </w:style>
  <w:style w:type="character" w:styleId="PageNumber">
    <w:name w:val="page number"/>
    <w:rsid w:val="00A167AB"/>
  </w:style>
  <w:style w:type="character" w:styleId="Hyperlink">
    <w:name w:val="Hyperlink"/>
    <w:uiPriority w:val="99"/>
    <w:unhideWhenUsed/>
    <w:rsid w:val="00D3794A"/>
    <w:rPr>
      <w:color w:val="0000FF"/>
      <w:u w:val="single"/>
    </w:rPr>
  </w:style>
  <w:style w:type="paragraph" w:customStyle="1" w:styleId="BodyText1">
    <w:name w:val="Body Text1"/>
    <w:rsid w:val="002F5B8D"/>
    <w:pPr>
      <w:spacing w:after="120" w:line="228" w:lineRule="auto"/>
      <w:ind w:firstLine="288"/>
      <w:jc w:val="both"/>
    </w:pPr>
    <w:rPr>
      <w:rFonts w:eastAsia="ヒラギノ角ゴ Pro W3"/>
      <w:color w:val="000000"/>
      <w:spacing w:val="-1"/>
      <w:lang w:eastAsia="en-US"/>
    </w:rPr>
  </w:style>
  <w:style w:type="paragraph" w:customStyle="1" w:styleId="FreeForm">
    <w:name w:val="Free Form"/>
    <w:rsid w:val="002F5B8D"/>
    <w:rPr>
      <w:rFonts w:eastAsia="ヒラギノ角ゴ Pro W3"/>
      <w:color w:val="000000"/>
      <w:lang w:eastAsia="en-US"/>
    </w:rPr>
  </w:style>
  <w:style w:type="paragraph" w:customStyle="1" w:styleId="D-Table">
    <w:name w:val="D-Table"/>
    <w:autoRedefine/>
    <w:rsid w:val="002F5B8D"/>
    <w:pPr>
      <w:tabs>
        <w:tab w:val="left" w:pos="1080"/>
      </w:tabs>
      <w:spacing w:before="240" w:after="120"/>
      <w:jc w:val="center"/>
    </w:pPr>
    <w:rPr>
      <w:rFonts w:ascii="Times New Roman Bold" w:eastAsia="ヒラギノ角ゴ Pro W3" w:hAnsi="Times New Roman Bold"/>
      <w:color w:val="000000"/>
      <w:sz w:val="18"/>
      <w:lang w:eastAsia="en-US"/>
    </w:rPr>
  </w:style>
  <w:style w:type="paragraph" w:customStyle="1" w:styleId="tablecolhead">
    <w:name w:val="table col head"/>
    <w:rsid w:val="002F5B8D"/>
    <w:pPr>
      <w:jc w:val="center"/>
    </w:pPr>
    <w:rPr>
      <w:rFonts w:ascii="Times New Roman Bold" w:eastAsia="ヒラギノ角ゴ Pro W3" w:hAnsi="Times New Roman Bold"/>
      <w:color w:val="000000"/>
      <w:sz w:val="16"/>
      <w:lang w:eastAsia="en-US"/>
    </w:rPr>
  </w:style>
  <w:style w:type="paragraph" w:customStyle="1" w:styleId="tablecolsubhead">
    <w:name w:val="table col subhead"/>
    <w:rsid w:val="002F5B8D"/>
    <w:pPr>
      <w:jc w:val="center"/>
    </w:pPr>
    <w:rPr>
      <w:rFonts w:ascii="Times New Roman Bold Italic" w:eastAsia="ヒラギノ角ゴ Pro W3" w:hAnsi="Times New Roman Bold Italic"/>
      <w:color w:val="000000"/>
      <w:sz w:val="15"/>
      <w:lang w:eastAsia="en-US"/>
    </w:rPr>
  </w:style>
  <w:style w:type="paragraph" w:customStyle="1" w:styleId="tablecopy">
    <w:name w:val="table copy"/>
    <w:rsid w:val="002F5B8D"/>
    <w:pPr>
      <w:jc w:val="both"/>
    </w:pPr>
    <w:rPr>
      <w:rFonts w:eastAsia="ヒラギノ角ゴ Pro W3"/>
      <w:color w:val="000000"/>
      <w:sz w:val="16"/>
      <w:lang w:eastAsia="en-US"/>
    </w:rPr>
  </w:style>
  <w:style w:type="paragraph" w:customStyle="1" w:styleId="tablefootnote">
    <w:name w:val="table footnote"/>
    <w:rsid w:val="002F5B8D"/>
    <w:pPr>
      <w:spacing w:before="60" w:after="30"/>
      <w:jc w:val="right"/>
    </w:pPr>
    <w:rPr>
      <w:rFonts w:eastAsia="ヒラギノ角ゴ Pro W3"/>
      <w:color w:val="000000"/>
      <w:sz w:val="12"/>
      <w:lang w:eastAsia="en-US"/>
    </w:rPr>
  </w:style>
  <w:style w:type="paragraph" w:customStyle="1" w:styleId="ColorfulList-Accent11">
    <w:name w:val="Colorful List - Accent 11"/>
    <w:basedOn w:val="Normal"/>
    <w:uiPriority w:val="34"/>
    <w:qFormat/>
    <w:rsid w:val="002F5B8D"/>
    <w:pPr>
      <w:ind w:left="720"/>
      <w:contextualSpacing/>
    </w:pPr>
  </w:style>
  <w:style w:type="paragraph" w:styleId="EndnoteText">
    <w:name w:val="endnote text"/>
    <w:basedOn w:val="Normal"/>
    <w:link w:val="EndnoteTextChar"/>
    <w:uiPriority w:val="99"/>
    <w:unhideWhenUsed/>
    <w:rsid w:val="00C17C98"/>
  </w:style>
  <w:style w:type="character" w:customStyle="1" w:styleId="EndnoteTextChar">
    <w:name w:val="Endnote Text Char"/>
    <w:basedOn w:val="DefaultParagraphFont"/>
    <w:link w:val="EndnoteText"/>
    <w:uiPriority w:val="99"/>
    <w:rsid w:val="00C17C98"/>
  </w:style>
  <w:style w:type="character" w:styleId="EndnoteReference">
    <w:name w:val="endnote reference"/>
    <w:uiPriority w:val="99"/>
    <w:unhideWhenUsed/>
    <w:rsid w:val="00C17C98"/>
    <w:rPr>
      <w:vertAlign w:val="superscript"/>
    </w:rPr>
  </w:style>
  <w:style w:type="paragraph" w:styleId="HTMLPreformatted">
    <w:name w:val="HTML Preformatted"/>
    <w:basedOn w:val="Normal"/>
    <w:link w:val="HTMLPreformattedChar"/>
    <w:uiPriority w:val="99"/>
    <w:unhideWhenUsed/>
    <w:rsid w:val="00943E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PreformattedChar">
    <w:name w:val="HTML Preformatted Char"/>
    <w:link w:val="HTMLPreformatted"/>
    <w:uiPriority w:val="99"/>
    <w:rsid w:val="00943EE4"/>
    <w:rPr>
      <w:rFonts w:ascii="Courier New" w:eastAsia="Times New Roman" w:hAnsi="Courier New" w:cs="Courier New"/>
    </w:rPr>
  </w:style>
  <w:style w:type="character" w:customStyle="1" w:styleId="tlid-translation">
    <w:name w:val="tlid-translation"/>
    <w:rsid w:val="00EE0706"/>
  </w:style>
  <w:style w:type="character" w:customStyle="1" w:styleId="Heading1Char">
    <w:name w:val="Heading 1 Char"/>
    <w:link w:val="Heading1"/>
    <w:rsid w:val="00510900"/>
    <w:rPr>
      <w:rFonts w:eastAsia="Times New Roman"/>
      <w:b/>
      <w:bCs/>
    </w:rPr>
  </w:style>
  <w:style w:type="character" w:customStyle="1" w:styleId="Heading2Char">
    <w:name w:val="Heading 2 Char"/>
    <w:link w:val="Heading2"/>
    <w:rsid w:val="00510900"/>
    <w:rPr>
      <w:rFonts w:ascii="Arial" w:eastAsia="Times New Roman" w:hAnsi="Arial" w:cs="Arial"/>
      <w:b/>
      <w:bCs/>
      <w:i/>
      <w:iCs/>
      <w:sz w:val="28"/>
      <w:szCs w:val="28"/>
    </w:rPr>
  </w:style>
  <w:style w:type="paragraph" w:customStyle="1" w:styleId="Reference">
    <w:name w:val="Reference"/>
    <w:basedOn w:val="Normal"/>
    <w:rsid w:val="00510900"/>
    <w:pPr>
      <w:widowControl w:val="0"/>
      <w:autoSpaceDE w:val="0"/>
      <w:autoSpaceDN w:val="0"/>
      <w:adjustRightInd w:val="0"/>
      <w:spacing w:before="60" w:after="60"/>
      <w:ind w:left="288" w:hanging="288"/>
      <w:jc w:val="both"/>
      <w:textAlignment w:val="baseline"/>
    </w:pPr>
    <w:rPr>
      <w:rFonts w:eastAsia="BatangChe"/>
      <w:sz w:val="20"/>
      <w:szCs w:val="20"/>
      <w:lang w:eastAsia="ko-KR"/>
    </w:rPr>
  </w:style>
  <w:style w:type="paragraph" w:customStyle="1" w:styleId="Text">
    <w:name w:val="Text"/>
    <w:basedOn w:val="Normal"/>
    <w:rsid w:val="00510900"/>
    <w:pPr>
      <w:widowControl w:val="0"/>
      <w:autoSpaceDE w:val="0"/>
      <w:autoSpaceDN w:val="0"/>
      <w:spacing w:line="252" w:lineRule="auto"/>
      <w:ind w:firstLine="202"/>
      <w:jc w:val="both"/>
    </w:pPr>
    <w:rPr>
      <w:rFonts w:eastAsia="Batang"/>
      <w:sz w:val="20"/>
      <w:szCs w:val="20"/>
      <w:lang w:eastAsia="ko-KR"/>
    </w:rPr>
  </w:style>
  <w:style w:type="paragraph" w:styleId="NoSpacing">
    <w:name w:val="No Spacing"/>
    <w:uiPriority w:val="1"/>
    <w:qFormat/>
    <w:rsid w:val="00510900"/>
    <w:rPr>
      <w:rFonts w:ascii="Calibri" w:eastAsia="Calibri" w:hAnsi="Calibri"/>
      <w:sz w:val="22"/>
      <w:szCs w:val="22"/>
      <w:lang w:eastAsia="en-US"/>
    </w:rPr>
  </w:style>
  <w:style w:type="character" w:customStyle="1" w:styleId="hps">
    <w:name w:val="hps"/>
    <w:rsid w:val="00510900"/>
  </w:style>
  <w:style w:type="character" w:customStyle="1" w:styleId="atn">
    <w:name w:val="atn"/>
    <w:rsid w:val="00510900"/>
  </w:style>
  <w:style w:type="paragraph" w:customStyle="1" w:styleId="IEEEReferenceItem">
    <w:name w:val="IEEE Reference Item"/>
    <w:basedOn w:val="Normal"/>
    <w:rsid w:val="00510900"/>
    <w:pPr>
      <w:adjustRightInd w:val="0"/>
      <w:snapToGrid w:val="0"/>
      <w:ind w:left="360" w:hanging="360"/>
      <w:jc w:val="both"/>
    </w:pPr>
    <w:rPr>
      <w:rFonts w:eastAsia="SimSun"/>
      <w:sz w:val="16"/>
      <w:lang w:eastAsia="zh-CN"/>
    </w:rPr>
  </w:style>
  <w:style w:type="character" w:customStyle="1" w:styleId="Heading3Char">
    <w:name w:val="Heading 3 Char"/>
    <w:link w:val="Heading3"/>
    <w:uiPriority w:val="9"/>
    <w:rsid w:val="007E0A61"/>
    <w:rPr>
      <w:rFonts w:ascii="Calibri Light" w:eastAsia="Times New Roman" w:hAnsi="Calibri Light" w:cs="Times New Roman"/>
      <w:b/>
      <w:bCs/>
      <w:sz w:val="26"/>
      <w:szCs w:val="26"/>
    </w:rPr>
  </w:style>
  <w:style w:type="paragraph" w:customStyle="1" w:styleId="Default">
    <w:name w:val="Default"/>
    <w:rsid w:val="00E31D82"/>
    <w:pPr>
      <w:autoSpaceDE w:val="0"/>
      <w:autoSpaceDN w:val="0"/>
      <w:adjustRightInd w:val="0"/>
    </w:pPr>
    <w:rPr>
      <w:rFonts w:ascii="Open Sans Light" w:hAnsi="Open Sans Light" w:cs="Open Sans Light"/>
      <w:color w:val="000000"/>
      <w:sz w:val="24"/>
      <w:szCs w:val="24"/>
      <w:lang w:eastAsia="en-US"/>
    </w:rPr>
  </w:style>
  <w:style w:type="paragraph" w:customStyle="1" w:styleId="Pa2">
    <w:name w:val="Pa2"/>
    <w:basedOn w:val="Default"/>
    <w:next w:val="Default"/>
    <w:uiPriority w:val="99"/>
    <w:rsid w:val="00E31D82"/>
    <w:pPr>
      <w:spacing w:line="241" w:lineRule="atLeast"/>
    </w:pPr>
    <w:rPr>
      <w:rFonts w:cs="Times New Roman"/>
      <w:color w:val="auto"/>
    </w:rPr>
  </w:style>
  <w:style w:type="character" w:customStyle="1" w:styleId="A5">
    <w:name w:val="A5"/>
    <w:uiPriority w:val="99"/>
    <w:rsid w:val="00E31D82"/>
    <w:rPr>
      <w:rFonts w:cs="Open Sans Light"/>
      <w:color w:val="000000"/>
      <w:sz w:val="7"/>
      <w:szCs w:val="7"/>
    </w:rPr>
  </w:style>
  <w:style w:type="character" w:customStyle="1" w:styleId="A6">
    <w:name w:val="A6"/>
    <w:uiPriority w:val="99"/>
    <w:rsid w:val="00E31D82"/>
    <w:rPr>
      <w:rFonts w:cs="Open Sans Light"/>
      <w:color w:val="000000"/>
      <w:sz w:val="13"/>
      <w:szCs w:val="13"/>
    </w:rPr>
  </w:style>
  <w:style w:type="paragraph" w:customStyle="1" w:styleId="Pa0">
    <w:name w:val="Pa0"/>
    <w:basedOn w:val="Default"/>
    <w:next w:val="Default"/>
    <w:uiPriority w:val="99"/>
    <w:rsid w:val="00E31D82"/>
    <w:pPr>
      <w:spacing w:line="241" w:lineRule="atLeast"/>
    </w:pPr>
    <w:rPr>
      <w:rFonts w:cs="Times New Roman"/>
      <w:color w:val="auto"/>
    </w:rPr>
  </w:style>
  <w:style w:type="character" w:styleId="Emphasis">
    <w:name w:val="Emphasis"/>
    <w:uiPriority w:val="20"/>
    <w:qFormat/>
    <w:rsid w:val="00E31D82"/>
    <w:rPr>
      <w:i/>
      <w:iCs/>
    </w:rPr>
  </w:style>
  <w:style w:type="character" w:styleId="Strong">
    <w:name w:val="Strong"/>
    <w:uiPriority w:val="22"/>
    <w:qFormat/>
    <w:rsid w:val="00286DBB"/>
    <w:rPr>
      <w:b/>
      <w:bCs/>
    </w:rPr>
  </w:style>
  <w:style w:type="paragraph" w:styleId="ListParagraph">
    <w:name w:val="List Paragraph"/>
    <w:aliases w:val="Body of text,kepala 1,Body of textCxSp,Body of text1,Body of text2,Body of text3,Body of text4,Body of text5,Body of text6,Body of text7,Body of text8,KEPALA 3,List Paragraph1,Lis,Body of text+2,KEPALA 31,List Paragraph11,KEPALA 32,kep"/>
    <w:basedOn w:val="Normal"/>
    <w:link w:val="ListParagraphChar"/>
    <w:uiPriority w:val="34"/>
    <w:qFormat/>
    <w:rsid w:val="00286DBB"/>
    <w:pPr>
      <w:spacing w:after="160" w:line="259" w:lineRule="auto"/>
      <w:ind w:left="720"/>
      <w:contextualSpacing/>
    </w:pPr>
    <w:rPr>
      <w:rFonts w:eastAsia="Calibri"/>
      <w:szCs w:val="22"/>
    </w:rPr>
  </w:style>
  <w:style w:type="character" w:customStyle="1" w:styleId="ListParagraphChar">
    <w:name w:val="List Paragraph Char"/>
    <w:aliases w:val="Body of text Char,kepala 1 Char,Body of textCxSp Char,Body of text1 Char,Body of text2 Char,Body of text3 Char,Body of text4 Char,Body of text5 Char,Body of text6 Char,Body of text7 Char,Body of text8 Char,KEPALA 3 Char,Lis Char"/>
    <w:link w:val="ListParagraph"/>
    <w:uiPriority w:val="34"/>
    <w:qFormat/>
    <w:locked/>
    <w:rsid w:val="00286DBB"/>
    <w:rPr>
      <w:rFonts w:eastAsia="Calibri"/>
      <w:sz w:val="24"/>
      <w:szCs w:val="22"/>
    </w:rPr>
  </w:style>
  <w:style w:type="paragraph" w:customStyle="1" w:styleId="EndNoteBibliography">
    <w:name w:val="EndNote Bibliography"/>
    <w:basedOn w:val="Normal"/>
    <w:link w:val="EndNoteBibliographyChar"/>
    <w:rsid w:val="00286DBB"/>
    <w:pPr>
      <w:spacing w:after="160"/>
    </w:pPr>
    <w:rPr>
      <w:rFonts w:ascii="Calibri" w:eastAsia="Calibri" w:hAnsi="Calibri"/>
      <w:noProof/>
      <w:sz w:val="22"/>
      <w:szCs w:val="22"/>
    </w:rPr>
  </w:style>
  <w:style w:type="character" w:customStyle="1" w:styleId="EndNoteBibliographyChar">
    <w:name w:val="EndNote Bibliography Char"/>
    <w:link w:val="EndNoteBibliography"/>
    <w:rsid w:val="00286DBB"/>
    <w:rPr>
      <w:rFonts w:ascii="Calibri" w:eastAsia="Calibri" w:hAnsi="Calibri"/>
      <w:noProof/>
      <w:sz w:val="22"/>
      <w:szCs w:val="22"/>
    </w:rPr>
  </w:style>
  <w:style w:type="paragraph" w:customStyle="1" w:styleId="Articletitle">
    <w:name w:val="Article title"/>
    <w:basedOn w:val="Normal"/>
    <w:next w:val="Normal"/>
    <w:qFormat/>
    <w:rsid w:val="005411CC"/>
    <w:pPr>
      <w:spacing w:after="120" w:line="360" w:lineRule="auto"/>
    </w:pPr>
    <w:rPr>
      <w:rFonts w:eastAsia="Times New Roman"/>
      <w:b/>
      <w:sz w:val="28"/>
      <w:lang w:eastAsia="en-GB"/>
    </w:rPr>
  </w:style>
  <w:style w:type="paragraph" w:customStyle="1" w:styleId="Authornames">
    <w:name w:val="Author names"/>
    <w:basedOn w:val="Normal"/>
    <w:next w:val="Normal"/>
    <w:qFormat/>
    <w:rsid w:val="005411CC"/>
    <w:pPr>
      <w:spacing w:before="240" w:line="360" w:lineRule="auto"/>
    </w:pPr>
    <w:rPr>
      <w:rFonts w:eastAsia="Times New Roman"/>
      <w:sz w:val="28"/>
      <w:lang w:eastAsia="en-GB"/>
    </w:rPr>
  </w:style>
  <w:style w:type="paragraph" w:customStyle="1" w:styleId="Affiliation">
    <w:name w:val="Affiliation"/>
    <w:basedOn w:val="Normal"/>
    <w:qFormat/>
    <w:rsid w:val="005411CC"/>
    <w:pPr>
      <w:spacing w:before="240" w:line="360" w:lineRule="auto"/>
    </w:pPr>
    <w:rPr>
      <w:rFonts w:eastAsia="Times New Roman"/>
      <w:i/>
      <w:lang w:eastAsia="en-GB"/>
    </w:rPr>
  </w:style>
  <w:style w:type="paragraph" w:customStyle="1" w:styleId="Abstract">
    <w:name w:val="Abstract"/>
    <w:basedOn w:val="Normal"/>
    <w:next w:val="Keywords"/>
    <w:qFormat/>
    <w:rsid w:val="005411CC"/>
    <w:pPr>
      <w:spacing w:before="360" w:after="300" w:line="360" w:lineRule="auto"/>
      <w:ind w:left="720" w:right="567"/>
    </w:pPr>
    <w:rPr>
      <w:rFonts w:eastAsia="Times New Roman"/>
      <w:sz w:val="22"/>
      <w:lang w:eastAsia="en-GB"/>
    </w:rPr>
  </w:style>
  <w:style w:type="paragraph" w:customStyle="1" w:styleId="Keywords">
    <w:name w:val="Keywords"/>
    <w:basedOn w:val="Normal"/>
    <w:next w:val="Paragraph"/>
    <w:qFormat/>
    <w:rsid w:val="005411CC"/>
    <w:pPr>
      <w:spacing w:before="240" w:after="240" w:line="360" w:lineRule="auto"/>
      <w:ind w:left="720" w:right="567"/>
    </w:pPr>
    <w:rPr>
      <w:rFonts w:eastAsia="Times New Roman"/>
      <w:sz w:val="22"/>
      <w:lang w:eastAsia="en-GB"/>
    </w:rPr>
  </w:style>
  <w:style w:type="paragraph" w:customStyle="1" w:styleId="Correspondencedetails">
    <w:name w:val="Correspondence details"/>
    <w:basedOn w:val="Normal"/>
    <w:qFormat/>
    <w:rsid w:val="005411CC"/>
    <w:pPr>
      <w:spacing w:before="240" w:line="360" w:lineRule="auto"/>
    </w:pPr>
    <w:rPr>
      <w:rFonts w:eastAsia="Times New Roman"/>
      <w:lang w:eastAsia="en-GB"/>
    </w:rPr>
  </w:style>
  <w:style w:type="paragraph" w:customStyle="1" w:styleId="Paragraph">
    <w:name w:val="Paragraph"/>
    <w:basedOn w:val="Normal"/>
    <w:next w:val="Normal"/>
    <w:qFormat/>
    <w:rsid w:val="005411CC"/>
    <w:pPr>
      <w:widowControl w:val="0"/>
      <w:spacing w:before="240" w:line="480" w:lineRule="auto"/>
    </w:pPr>
    <w:rPr>
      <w:rFonts w:eastAsia="Times New Roman"/>
      <w:lang w:eastAsia="en-GB"/>
    </w:rPr>
  </w:style>
  <w:style w:type="paragraph" w:customStyle="1" w:styleId="Acknowledgements">
    <w:name w:val="Acknowledgements"/>
    <w:basedOn w:val="Normal"/>
    <w:next w:val="Normal"/>
    <w:qFormat/>
    <w:rsid w:val="005411CC"/>
    <w:pPr>
      <w:spacing w:before="120" w:line="360" w:lineRule="auto"/>
    </w:pPr>
    <w:rPr>
      <w:rFonts w:eastAsia="Times New Roman"/>
      <w:sz w:val="22"/>
      <w:lang w:eastAsia="en-GB"/>
    </w:rPr>
  </w:style>
  <w:style w:type="paragraph" w:customStyle="1" w:styleId="Tabletitle">
    <w:name w:val="Table title"/>
    <w:basedOn w:val="Normal"/>
    <w:next w:val="Normal"/>
    <w:qFormat/>
    <w:rsid w:val="005411CC"/>
    <w:pPr>
      <w:spacing w:before="240" w:line="360" w:lineRule="auto"/>
    </w:pPr>
    <w:rPr>
      <w:rFonts w:eastAsia="Times New Roman"/>
      <w:lang w:eastAsia="en-GB"/>
    </w:rPr>
  </w:style>
  <w:style w:type="paragraph" w:customStyle="1" w:styleId="Figurecaption">
    <w:name w:val="Figure caption"/>
    <w:basedOn w:val="Normal"/>
    <w:next w:val="Normal"/>
    <w:qFormat/>
    <w:rsid w:val="005411CC"/>
    <w:pPr>
      <w:spacing w:before="240" w:line="360" w:lineRule="auto"/>
    </w:pPr>
    <w:rPr>
      <w:rFonts w:eastAsia="Times New Roman"/>
      <w:lang w:eastAsia="en-GB"/>
    </w:rPr>
  </w:style>
  <w:style w:type="paragraph" w:customStyle="1" w:styleId="References">
    <w:name w:val="References"/>
    <w:basedOn w:val="Normal"/>
    <w:qFormat/>
    <w:rsid w:val="005411CC"/>
    <w:pPr>
      <w:spacing w:before="120" w:line="360" w:lineRule="auto"/>
      <w:ind w:left="720" w:hanging="720"/>
      <w:contextualSpacing/>
    </w:pPr>
    <w:rPr>
      <w:rFonts w:eastAsia="Times New Roman"/>
      <w:lang w:eastAsia="en-GB"/>
    </w:rPr>
  </w:style>
  <w:style w:type="paragraph" w:customStyle="1" w:styleId="Heading4Paragraph">
    <w:name w:val="Heading 4 + Paragraph"/>
    <w:basedOn w:val="Paragraph"/>
    <w:next w:val="Normal"/>
    <w:qFormat/>
    <w:rsid w:val="005411CC"/>
    <w:pPr>
      <w:widowControl/>
      <w:spacing w:before="360"/>
    </w:pPr>
  </w:style>
  <w:style w:type="character" w:customStyle="1" w:styleId="Heading4Char">
    <w:name w:val="Heading 4 Char"/>
    <w:link w:val="Heading4"/>
    <w:uiPriority w:val="9"/>
    <w:rsid w:val="009A5C49"/>
    <w:rPr>
      <w:rFonts w:ascii="Calibri" w:eastAsia="Times New Roman" w:hAnsi="Calibri" w:cs="Times New Roman"/>
      <w:b/>
      <w:bCs/>
      <w:sz w:val="28"/>
      <w:szCs w:val="28"/>
      <w:lang w:val="id" w:eastAsia="en-US"/>
    </w:rPr>
  </w:style>
  <w:style w:type="paragraph" w:styleId="NormalWeb">
    <w:name w:val="Normal (Web)"/>
    <w:basedOn w:val="Normal"/>
    <w:uiPriority w:val="99"/>
    <w:unhideWhenUsed/>
    <w:rsid w:val="00A06250"/>
    <w:pPr>
      <w:spacing w:before="100" w:beforeAutospacing="1" w:after="100" w:afterAutospacing="1"/>
    </w:pPr>
    <w:rPr>
      <w:rFonts w:eastAsia="Times New Roman"/>
      <w:lang w:eastAsia="en-ID"/>
    </w:rPr>
  </w:style>
  <w:style w:type="character" w:styleId="UnresolvedMention">
    <w:name w:val="Unresolved Mention"/>
    <w:uiPriority w:val="99"/>
    <w:semiHidden/>
    <w:unhideWhenUsed/>
    <w:rsid w:val="00367A76"/>
    <w:rPr>
      <w:color w:val="605E5C"/>
      <w:shd w:val="clear" w:color="auto" w:fill="E1DFDD"/>
    </w:rPr>
  </w:style>
  <w:style w:type="paragraph" w:styleId="Caption">
    <w:name w:val="caption"/>
    <w:basedOn w:val="Normal"/>
    <w:next w:val="Normal"/>
    <w:uiPriority w:val="35"/>
    <w:unhideWhenUsed/>
    <w:qFormat/>
    <w:rsid w:val="00366E0E"/>
    <w:pPr>
      <w:jc w:val="center"/>
    </w:pPr>
    <w:rPr>
      <w:rFonts w:eastAsia="Calibri"/>
      <w:bCs/>
      <w:sz w:val="16"/>
      <w:szCs w:val="18"/>
    </w:rPr>
  </w:style>
  <w:style w:type="character" w:customStyle="1" w:styleId="doc-finished">
    <w:name w:val="doc-finished"/>
    <w:rsid w:val="00366E0E"/>
  </w:style>
  <w:style w:type="paragraph" w:customStyle="1" w:styleId="Rujukan">
    <w:name w:val="Rujukan"/>
    <w:basedOn w:val="Normal"/>
    <w:link w:val="RujukanChar"/>
    <w:qFormat/>
    <w:rsid w:val="00E258FE"/>
    <w:pPr>
      <w:autoSpaceDE w:val="0"/>
      <w:autoSpaceDN w:val="0"/>
      <w:adjustRightInd w:val="0"/>
      <w:ind w:left="272" w:hanging="272"/>
      <w:jc w:val="both"/>
    </w:pPr>
    <w:rPr>
      <w:rFonts w:eastAsia="Calibri"/>
      <w:sz w:val="16"/>
      <w:szCs w:val="20"/>
      <w:lang w:eastAsia="x-none"/>
    </w:rPr>
  </w:style>
  <w:style w:type="character" w:customStyle="1" w:styleId="RujukanChar">
    <w:name w:val="Rujukan Char"/>
    <w:link w:val="Rujukan"/>
    <w:rsid w:val="00E258FE"/>
    <w:rPr>
      <w:rFonts w:eastAsia="Calibri"/>
      <w:sz w:val="16"/>
      <w:lang w:val="id" w:eastAsia="x-none"/>
    </w:rPr>
  </w:style>
  <w:style w:type="character" w:customStyle="1" w:styleId="markedcontent">
    <w:name w:val="markedcontent"/>
    <w:rsid w:val="00E258FE"/>
  </w:style>
  <w:style w:type="character" w:customStyle="1" w:styleId="y2iqfc">
    <w:name w:val="y2iqfc"/>
    <w:rsid w:val="00657AA1"/>
  </w:style>
  <w:style w:type="paragraph" w:styleId="BodyText">
    <w:name w:val="Body Text"/>
    <w:basedOn w:val="Normal"/>
    <w:link w:val="BodyTextChar"/>
    <w:uiPriority w:val="1"/>
    <w:qFormat/>
    <w:rsid w:val="0033640B"/>
    <w:pPr>
      <w:widowControl w:val="0"/>
      <w:autoSpaceDE w:val="0"/>
      <w:autoSpaceDN w:val="0"/>
    </w:pPr>
    <w:rPr>
      <w:rFonts w:eastAsia="Times New Roman"/>
      <w:lang w:val="en-US"/>
    </w:rPr>
  </w:style>
  <w:style w:type="character" w:customStyle="1" w:styleId="BodyTextChar">
    <w:name w:val="Body Text Char"/>
    <w:basedOn w:val="DefaultParagraphFont"/>
    <w:link w:val="BodyText"/>
    <w:uiPriority w:val="1"/>
    <w:rsid w:val="0033640B"/>
    <w:rPr>
      <w:rFonts w:eastAsia="Times New Roman"/>
      <w:sz w:val="24"/>
      <w:szCs w:val="24"/>
      <w:lang w:val="en-US" w:eastAsia="en-US"/>
    </w:rPr>
  </w:style>
  <w:style w:type="paragraph" w:customStyle="1" w:styleId="TableParagraph">
    <w:name w:val="Table Paragraph"/>
    <w:basedOn w:val="Normal"/>
    <w:uiPriority w:val="1"/>
    <w:qFormat/>
    <w:rsid w:val="00F711D7"/>
    <w:pPr>
      <w:widowControl w:val="0"/>
      <w:autoSpaceDE w:val="0"/>
      <w:autoSpaceDN w:val="0"/>
      <w:ind w:left="18"/>
      <w:jc w:val="center"/>
    </w:pPr>
    <w:rPr>
      <w:rFonts w:eastAsia="Times New Roman"/>
      <w:sz w:val="22"/>
      <w:szCs w:val="22"/>
      <w:lang w:val="en-US"/>
    </w:rPr>
  </w:style>
  <w:style w:type="paragraph" w:styleId="Bibliography">
    <w:name w:val="Bibliography"/>
    <w:basedOn w:val="Normal"/>
    <w:next w:val="Normal"/>
    <w:uiPriority w:val="70"/>
    <w:rsid w:val="00D05791"/>
    <w:pPr>
      <w:spacing w:line="480" w:lineRule="auto"/>
      <w:ind w:left="720" w:hanging="720"/>
    </w:pPr>
  </w:style>
  <w:style w:type="table" w:customStyle="1" w:styleId="TableGrid1">
    <w:name w:val="Table Grid1"/>
    <w:basedOn w:val="TableNormal"/>
    <w:next w:val="TableGrid"/>
    <w:uiPriority w:val="59"/>
    <w:rsid w:val="00733600"/>
    <w:rPr>
      <w:rFonts w:asciiTheme="minorHAnsi" w:eastAsiaTheme="minorHAnsi" w:hAnsiTheme="minorHAnsi" w:cstheme="minorBid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11140">
      <w:bodyDiv w:val="1"/>
      <w:marLeft w:val="0"/>
      <w:marRight w:val="0"/>
      <w:marTop w:val="0"/>
      <w:marBottom w:val="0"/>
      <w:divBdr>
        <w:top w:val="none" w:sz="0" w:space="0" w:color="auto"/>
        <w:left w:val="none" w:sz="0" w:space="0" w:color="auto"/>
        <w:bottom w:val="none" w:sz="0" w:space="0" w:color="auto"/>
        <w:right w:val="none" w:sz="0" w:space="0" w:color="auto"/>
      </w:divBdr>
      <w:divsChild>
        <w:div w:id="53236648">
          <w:marLeft w:val="0"/>
          <w:marRight w:val="0"/>
          <w:marTop w:val="0"/>
          <w:marBottom w:val="0"/>
          <w:divBdr>
            <w:top w:val="none" w:sz="0" w:space="0" w:color="auto"/>
            <w:left w:val="none" w:sz="0" w:space="0" w:color="auto"/>
            <w:bottom w:val="none" w:sz="0" w:space="0" w:color="auto"/>
            <w:right w:val="none" w:sz="0" w:space="0" w:color="auto"/>
          </w:divBdr>
        </w:div>
      </w:divsChild>
    </w:div>
    <w:div w:id="26417366">
      <w:bodyDiv w:val="1"/>
      <w:marLeft w:val="0"/>
      <w:marRight w:val="0"/>
      <w:marTop w:val="0"/>
      <w:marBottom w:val="0"/>
      <w:divBdr>
        <w:top w:val="none" w:sz="0" w:space="0" w:color="auto"/>
        <w:left w:val="none" w:sz="0" w:space="0" w:color="auto"/>
        <w:bottom w:val="none" w:sz="0" w:space="0" w:color="auto"/>
        <w:right w:val="none" w:sz="0" w:space="0" w:color="auto"/>
      </w:divBdr>
      <w:divsChild>
        <w:div w:id="548999186">
          <w:marLeft w:val="0"/>
          <w:marRight w:val="0"/>
          <w:marTop w:val="0"/>
          <w:marBottom w:val="0"/>
          <w:divBdr>
            <w:top w:val="none" w:sz="0" w:space="0" w:color="auto"/>
            <w:left w:val="none" w:sz="0" w:space="0" w:color="auto"/>
            <w:bottom w:val="none" w:sz="0" w:space="0" w:color="auto"/>
            <w:right w:val="none" w:sz="0" w:space="0" w:color="auto"/>
          </w:divBdr>
        </w:div>
      </w:divsChild>
    </w:div>
    <w:div w:id="42490569">
      <w:bodyDiv w:val="1"/>
      <w:marLeft w:val="0"/>
      <w:marRight w:val="0"/>
      <w:marTop w:val="0"/>
      <w:marBottom w:val="0"/>
      <w:divBdr>
        <w:top w:val="none" w:sz="0" w:space="0" w:color="auto"/>
        <w:left w:val="none" w:sz="0" w:space="0" w:color="auto"/>
        <w:bottom w:val="none" w:sz="0" w:space="0" w:color="auto"/>
        <w:right w:val="none" w:sz="0" w:space="0" w:color="auto"/>
      </w:divBdr>
    </w:div>
    <w:div w:id="202834126">
      <w:bodyDiv w:val="1"/>
      <w:marLeft w:val="0"/>
      <w:marRight w:val="0"/>
      <w:marTop w:val="0"/>
      <w:marBottom w:val="0"/>
      <w:divBdr>
        <w:top w:val="none" w:sz="0" w:space="0" w:color="auto"/>
        <w:left w:val="none" w:sz="0" w:space="0" w:color="auto"/>
        <w:bottom w:val="none" w:sz="0" w:space="0" w:color="auto"/>
        <w:right w:val="none" w:sz="0" w:space="0" w:color="auto"/>
      </w:divBdr>
    </w:div>
    <w:div w:id="304547859">
      <w:bodyDiv w:val="1"/>
      <w:marLeft w:val="0"/>
      <w:marRight w:val="0"/>
      <w:marTop w:val="0"/>
      <w:marBottom w:val="0"/>
      <w:divBdr>
        <w:top w:val="none" w:sz="0" w:space="0" w:color="auto"/>
        <w:left w:val="none" w:sz="0" w:space="0" w:color="auto"/>
        <w:bottom w:val="none" w:sz="0" w:space="0" w:color="auto"/>
        <w:right w:val="none" w:sz="0" w:space="0" w:color="auto"/>
      </w:divBdr>
    </w:div>
    <w:div w:id="327947218">
      <w:bodyDiv w:val="1"/>
      <w:marLeft w:val="0"/>
      <w:marRight w:val="0"/>
      <w:marTop w:val="0"/>
      <w:marBottom w:val="0"/>
      <w:divBdr>
        <w:top w:val="none" w:sz="0" w:space="0" w:color="auto"/>
        <w:left w:val="none" w:sz="0" w:space="0" w:color="auto"/>
        <w:bottom w:val="none" w:sz="0" w:space="0" w:color="auto"/>
        <w:right w:val="none" w:sz="0" w:space="0" w:color="auto"/>
      </w:divBdr>
    </w:div>
    <w:div w:id="329649047">
      <w:bodyDiv w:val="1"/>
      <w:marLeft w:val="0"/>
      <w:marRight w:val="0"/>
      <w:marTop w:val="0"/>
      <w:marBottom w:val="0"/>
      <w:divBdr>
        <w:top w:val="none" w:sz="0" w:space="0" w:color="auto"/>
        <w:left w:val="none" w:sz="0" w:space="0" w:color="auto"/>
        <w:bottom w:val="none" w:sz="0" w:space="0" w:color="auto"/>
        <w:right w:val="none" w:sz="0" w:space="0" w:color="auto"/>
      </w:divBdr>
    </w:div>
    <w:div w:id="466708971">
      <w:bodyDiv w:val="1"/>
      <w:marLeft w:val="0"/>
      <w:marRight w:val="0"/>
      <w:marTop w:val="0"/>
      <w:marBottom w:val="0"/>
      <w:divBdr>
        <w:top w:val="none" w:sz="0" w:space="0" w:color="auto"/>
        <w:left w:val="none" w:sz="0" w:space="0" w:color="auto"/>
        <w:bottom w:val="none" w:sz="0" w:space="0" w:color="auto"/>
        <w:right w:val="none" w:sz="0" w:space="0" w:color="auto"/>
      </w:divBdr>
      <w:divsChild>
        <w:div w:id="53043374">
          <w:marLeft w:val="0"/>
          <w:marRight w:val="0"/>
          <w:marTop w:val="0"/>
          <w:marBottom w:val="0"/>
          <w:divBdr>
            <w:top w:val="none" w:sz="0" w:space="0" w:color="auto"/>
            <w:left w:val="none" w:sz="0" w:space="0" w:color="auto"/>
            <w:bottom w:val="none" w:sz="0" w:space="0" w:color="auto"/>
            <w:right w:val="none" w:sz="0" w:space="0" w:color="auto"/>
          </w:divBdr>
        </w:div>
      </w:divsChild>
    </w:div>
    <w:div w:id="517549901">
      <w:bodyDiv w:val="1"/>
      <w:marLeft w:val="0"/>
      <w:marRight w:val="0"/>
      <w:marTop w:val="0"/>
      <w:marBottom w:val="0"/>
      <w:divBdr>
        <w:top w:val="none" w:sz="0" w:space="0" w:color="auto"/>
        <w:left w:val="none" w:sz="0" w:space="0" w:color="auto"/>
        <w:bottom w:val="none" w:sz="0" w:space="0" w:color="auto"/>
        <w:right w:val="none" w:sz="0" w:space="0" w:color="auto"/>
      </w:divBdr>
      <w:divsChild>
        <w:div w:id="1059011579">
          <w:marLeft w:val="0"/>
          <w:marRight w:val="0"/>
          <w:marTop w:val="0"/>
          <w:marBottom w:val="0"/>
          <w:divBdr>
            <w:top w:val="none" w:sz="0" w:space="0" w:color="auto"/>
            <w:left w:val="none" w:sz="0" w:space="0" w:color="auto"/>
            <w:bottom w:val="none" w:sz="0" w:space="0" w:color="auto"/>
            <w:right w:val="none" w:sz="0" w:space="0" w:color="auto"/>
          </w:divBdr>
        </w:div>
      </w:divsChild>
    </w:div>
    <w:div w:id="537594668">
      <w:bodyDiv w:val="1"/>
      <w:marLeft w:val="0"/>
      <w:marRight w:val="0"/>
      <w:marTop w:val="0"/>
      <w:marBottom w:val="0"/>
      <w:divBdr>
        <w:top w:val="none" w:sz="0" w:space="0" w:color="auto"/>
        <w:left w:val="none" w:sz="0" w:space="0" w:color="auto"/>
        <w:bottom w:val="none" w:sz="0" w:space="0" w:color="auto"/>
        <w:right w:val="none" w:sz="0" w:space="0" w:color="auto"/>
      </w:divBdr>
    </w:div>
    <w:div w:id="551962564">
      <w:bodyDiv w:val="1"/>
      <w:marLeft w:val="0"/>
      <w:marRight w:val="0"/>
      <w:marTop w:val="0"/>
      <w:marBottom w:val="0"/>
      <w:divBdr>
        <w:top w:val="none" w:sz="0" w:space="0" w:color="auto"/>
        <w:left w:val="none" w:sz="0" w:space="0" w:color="auto"/>
        <w:bottom w:val="none" w:sz="0" w:space="0" w:color="auto"/>
        <w:right w:val="none" w:sz="0" w:space="0" w:color="auto"/>
      </w:divBdr>
      <w:divsChild>
        <w:div w:id="836186563">
          <w:marLeft w:val="0"/>
          <w:marRight w:val="0"/>
          <w:marTop w:val="0"/>
          <w:marBottom w:val="0"/>
          <w:divBdr>
            <w:top w:val="none" w:sz="0" w:space="0" w:color="auto"/>
            <w:left w:val="none" w:sz="0" w:space="0" w:color="auto"/>
            <w:bottom w:val="none" w:sz="0" w:space="0" w:color="auto"/>
            <w:right w:val="none" w:sz="0" w:space="0" w:color="auto"/>
          </w:divBdr>
        </w:div>
      </w:divsChild>
    </w:div>
    <w:div w:id="633219534">
      <w:bodyDiv w:val="1"/>
      <w:marLeft w:val="0"/>
      <w:marRight w:val="0"/>
      <w:marTop w:val="0"/>
      <w:marBottom w:val="0"/>
      <w:divBdr>
        <w:top w:val="none" w:sz="0" w:space="0" w:color="auto"/>
        <w:left w:val="none" w:sz="0" w:space="0" w:color="auto"/>
        <w:bottom w:val="none" w:sz="0" w:space="0" w:color="auto"/>
        <w:right w:val="none" w:sz="0" w:space="0" w:color="auto"/>
      </w:divBdr>
    </w:div>
    <w:div w:id="713846551">
      <w:bodyDiv w:val="1"/>
      <w:marLeft w:val="0"/>
      <w:marRight w:val="0"/>
      <w:marTop w:val="0"/>
      <w:marBottom w:val="0"/>
      <w:divBdr>
        <w:top w:val="none" w:sz="0" w:space="0" w:color="auto"/>
        <w:left w:val="none" w:sz="0" w:space="0" w:color="auto"/>
        <w:bottom w:val="none" w:sz="0" w:space="0" w:color="auto"/>
        <w:right w:val="none" w:sz="0" w:space="0" w:color="auto"/>
      </w:divBdr>
      <w:divsChild>
        <w:div w:id="124390956">
          <w:marLeft w:val="0"/>
          <w:marRight w:val="0"/>
          <w:marTop w:val="0"/>
          <w:marBottom w:val="0"/>
          <w:divBdr>
            <w:top w:val="none" w:sz="0" w:space="0" w:color="auto"/>
            <w:left w:val="none" w:sz="0" w:space="0" w:color="auto"/>
            <w:bottom w:val="none" w:sz="0" w:space="0" w:color="auto"/>
            <w:right w:val="none" w:sz="0" w:space="0" w:color="auto"/>
          </w:divBdr>
          <w:divsChild>
            <w:div w:id="1668438049">
              <w:marLeft w:val="0"/>
              <w:marRight w:val="0"/>
              <w:marTop w:val="0"/>
              <w:marBottom w:val="0"/>
              <w:divBdr>
                <w:top w:val="none" w:sz="0" w:space="0" w:color="auto"/>
                <w:left w:val="none" w:sz="0" w:space="0" w:color="auto"/>
                <w:bottom w:val="none" w:sz="0" w:space="0" w:color="auto"/>
                <w:right w:val="none" w:sz="0" w:space="0" w:color="auto"/>
              </w:divBdr>
              <w:divsChild>
                <w:div w:id="855769818">
                  <w:marLeft w:val="0"/>
                  <w:marRight w:val="0"/>
                  <w:marTop w:val="0"/>
                  <w:marBottom w:val="0"/>
                  <w:divBdr>
                    <w:top w:val="none" w:sz="0" w:space="0" w:color="auto"/>
                    <w:left w:val="none" w:sz="0" w:space="0" w:color="auto"/>
                    <w:bottom w:val="none" w:sz="0" w:space="0" w:color="auto"/>
                    <w:right w:val="none" w:sz="0" w:space="0" w:color="auto"/>
                  </w:divBdr>
                  <w:divsChild>
                    <w:div w:id="1459684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4909604">
          <w:marLeft w:val="0"/>
          <w:marRight w:val="0"/>
          <w:marTop w:val="0"/>
          <w:marBottom w:val="0"/>
          <w:divBdr>
            <w:top w:val="none" w:sz="0" w:space="0" w:color="auto"/>
            <w:left w:val="none" w:sz="0" w:space="0" w:color="auto"/>
            <w:bottom w:val="none" w:sz="0" w:space="0" w:color="auto"/>
            <w:right w:val="none" w:sz="0" w:space="0" w:color="auto"/>
          </w:divBdr>
        </w:div>
      </w:divsChild>
    </w:div>
    <w:div w:id="888031329">
      <w:bodyDiv w:val="1"/>
      <w:marLeft w:val="0"/>
      <w:marRight w:val="0"/>
      <w:marTop w:val="0"/>
      <w:marBottom w:val="0"/>
      <w:divBdr>
        <w:top w:val="none" w:sz="0" w:space="0" w:color="auto"/>
        <w:left w:val="none" w:sz="0" w:space="0" w:color="auto"/>
        <w:bottom w:val="none" w:sz="0" w:space="0" w:color="auto"/>
        <w:right w:val="none" w:sz="0" w:space="0" w:color="auto"/>
      </w:divBdr>
    </w:div>
    <w:div w:id="1193760537">
      <w:bodyDiv w:val="1"/>
      <w:marLeft w:val="0"/>
      <w:marRight w:val="0"/>
      <w:marTop w:val="0"/>
      <w:marBottom w:val="0"/>
      <w:divBdr>
        <w:top w:val="none" w:sz="0" w:space="0" w:color="auto"/>
        <w:left w:val="none" w:sz="0" w:space="0" w:color="auto"/>
        <w:bottom w:val="none" w:sz="0" w:space="0" w:color="auto"/>
        <w:right w:val="none" w:sz="0" w:space="0" w:color="auto"/>
      </w:divBdr>
    </w:div>
    <w:div w:id="1428697006">
      <w:bodyDiv w:val="1"/>
      <w:marLeft w:val="0"/>
      <w:marRight w:val="0"/>
      <w:marTop w:val="0"/>
      <w:marBottom w:val="0"/>
      <w:divBdr>
        <w:top w:val="none" w:sz="0" w:space="0" w:color="auto"/>
        <w:left w:val="none" w:sz="0" w:space="0" w:color="auto"/>
        <w:bottom w:val="none" w:sz="0" w:space="0" w:color="auto"/>
        <w:right w:val="none" w:sz="0" w:space="0" w:color="auto"/>
      </w:divBdr>
    </w:div>
    <w:div w:id="1450853913">
      <w:bodyDiv w:val="1"/>
      <w:marLeft w:val="0"/>
      <w:marRight w:val="0"/>
      <w:marTop w:val="0"/>
      <w:marBottom w:val="0"/>
      <w:divBdr>
        <w:top w:val="none" w:sz="0" w:space="0" w:color="auto"/>
        <w:left w:val="none" w:sz="0" w:space="0" w:color="auto"/>
        <w:bottom w:val="none" w:sz="0" w:space="0" w:color="auto"/>
        <w:right w:val="none" w:sz="0" w:space="0" w:color="auto"/>
      </w:divBdr>
    </w:div>
    <w:div w:id="1553342162">
      <w:bodyDiv w:val="1"/>
      <w:marLeft w:val="0"/>
      <w:marRight w:val="0"/>
      <w:marTop w:val="0"/>
      <w:marBottom w:val="0"/>
      <w:divBdr>
        <w:top w:val="none" w:sz="0" w:space="0" w:color="auto"/>
        <w:left w:val="none" w:sz="0" w:space="0" w:color="auto"/>
        <w:bottom w:val="none" w:sz="0" w:space="0" w:color="auto"/>
        <w:right w:val="none" w:sz="0" w:space="0" w:color="auto"/>
      </w:divBdr>
      <w:divsChild>
        <w:div w:id="1010254111">
          <w:marLeft w:val="0"/>
          <w:marRight w:val="0"/>
          <w:marTop w:val="0"/>
          <w:marBottom w:val="0"/>
          <w:divBdr>
            <w:top w:val="none" w:sz="0" w:space="0" w:color="auto"/>
            <w:left w:val="none" w:sz="0" w:space="0" w:color="auto"/>
            <w:bottom w:val="none" w:sz="0" w:space="0" w:color="auto"/>
            <w:right w:val="none" w:sz="0" w:space="0" w:color="auto"/>
          </w:divBdr>
        </w:div>
      </w:divsChild>
    </w:div>
    <w:div w:id="1568108887">
      <w:bodyDiv w:val="1"/>
      <w:marLeft w:val="0"/>
      <w:marRight w:val="0"/>
      <w:marTop w:val="0"/>
      <w:marBottom w:val="0"/>
      <w:divBdr>
        <w:top w:val="none" w:sz="0" w:space="0" w:color="auto"/>
        <w:left w:val="none" w:sz="0" w:space="0" w:color="auto"/>
        <w:bottom w:val="none" w:sz="0" w:space="0" w:color="auto"/>
        <w:right w:val="none" w:sz="0" w:space="0" w:color="auto"/>
      </w:divBdr>
      <w:divsChild>
        <w:div w:id="475025382">
          <w:marLeft w:val="0"/>
          <w:marRight w:val="0"/>
          <w:marTop w:val="0"/>
          <w:marBottom w:val="0"/>
          <w:divBdr>
            <w:top w:val="none" w:sz="0" w:space="0" w:color="auto"/>
            <w:left w:val="none" w:sz="0" w:space="0" w:color="auto"/>
            <w:bottom w:val="none" w:sz="0" w:space="0" w:color="auto"/>
            <w:right w:val="none" w:sz="0" w:space="0" w:color="auto"/>
          </w:divBdr>
        </w:div>
      </w:divsChild>
    </w:div>
    <w:div w:id="1585724907">
      <w:bodyDiv w:val="1"/>
      <w:marLeft w:val="0"/>
      <w:marRight w:val="0"/>
      <w:marTop w:val="0"/>
      <w:marBottom w:val="0"/>
      <w:divBdr>
        <w:top w:val="none" w:sz="0" w:space="0" w:color="auto"/>
        <w:left w:val="none" w:sz="0" w:space="0" w:color="auto"/>
        <w:bottom w:val="none" w:sz="0" w:space="0" w:color="auto"/>
        <w:right w:val="none" w:sz="0" w:space="0" w:color="auto"/>
      </w:divBdr>
    </w:div>
    <w:div w:id="1642885865">
      <w:bodyDiv w:val="1"/>
      <w:marLeft w:val="0"/>
      <w:marRight w:val="0"/>
      <w:marTop w:val="0"/>
      <w:marBottom w:val="0"/>
      <w:divBdr>
        <w:top w:val="none" w:sz="0" w:space="0" w:color="auto"/>
        <w:left w:val="none" w:sz="0" w:space="0" w:color="auto"/>
        <w:bottom w:val="none" w:sz="0" w:space="0" w:color="auto"/>
        <w:right w:val="none" w:sz="0" w:space="0" w:color="auto"/>
      </w:divBdr>
    </w:div>
    <w:div w:id="1734423544">
      <w:bodyDiv w:val="1"/>
      <w:marLeft w:val="0"/>
      <w:marRight w:val="0"/>
      <w:marTop w:val="0"/>
      <w:marBottom w:val="0"/>
      <w:divBdr>
        <w:top w:val="none" w:sz="0" w:space="0" w:color="auto"/>
        <w:left w:val="none" w:sz="0" w:space="0" w:color="auto"/>
        <w:bottom w:val="none" w:sz="0" w:space="0" w:color="auto"/>
        <w:right w:val="none" w:sz="0" w:space="0" w:color="auto"/>
      </w:divBdr>
    </w:div>
    <w:div w:id="1798717655">
      <w:bodyDiv w:val="1"/>
      <w:marLeft w:val="0"/>
      <w:marRight w:val="0"/>
      <w:marTop w:val="0"/>
      <w:marBottom w:val="0"/>
      <w:divBdr>
        <w:top w:val="none" w:sz="0" w:space="0" w:color="auto"/>
        <w:left w:val="none" w:sz="0" w:space="0" w:color="auto"/>
        <w:bottom w:val="none" w:sz="0" w:space="0" w:color="auto"/>
        <w:right w:val="none" w:sz="0" w:space="0" w:color="auto"/>
      </w:divBdr>
    </w:div>
    <w:div w:id="1920288139">
      <w:bodyDiv w:val="1"/>
      <w:marLeft w:val="0"/>
      <w:marRight w:val="0"/>
      <w:marTop w:val="0"/>
      <w:marBottom w:val="0"/>
      <w:divBdr>
        <w:top w:val="none" w:sz="0" w:space="0" w:color="auto"/>
        <w:left w:val="none" w:sz="0" w:space="0" w:color="auto"/>
        <w:bottom w:val="none" w:sz="0" w:space="0" w:color="auto"/>
        <w:right w:val="none" w:sz="0" w:space="0" w:color="auto"/>
      </w:divBdr>
    </w:div>
    <w:div w:id="1945573487">
      <w:bodyDiv w:val="1"/>
      <w:marLeft w:val="0"/>
      <w:marRight w:val="0"/>
      <w:marTop w:val="0"/>
      <w:marBottom w:val="0"/>
      <w:divBdr>
        <w:top w:val="none" w:sz="0" w:space="0" w:color="auto"/>
        <w:left w:val="none" w:sz="0" w:space="0" w:color="auto"/>
        <w:bottom w:val="none" w:sz="0" w:space="0" w:color="auto"/>
        <w:right w:val="none" w:sz="0" w:space="0" w:color="auto"/>
      </w:divBdr>
      <w:divsChild>
        <w:div w:id="858473139">
          <w:marLeft w:val="0"/>
          <w:marRight w:val="0"/>
          <w:marTop w:val="0"/>
          <w:marBottom w:val="0"/>
          <w:divBdr>
            <w:top w:val="none" w:sz="0" w:space="0" w:color="auto"/>
            <w:left w:val="none" w:sz="0" w:space="0" w:color="auto"/>
            <w:bottom w:val="none" w:sz="0" w:space="0" w:color="auto"/>
            <w:right w:val="none" w:sz="0" w:space="0" w:color="auto"/>
          </w:divBdr>
        </w:div>
      </w:divsChild>
    </w:div>
    <w:div w:id="1954626978">
      <w:bodyDiv w:val="1"/>
      <w:marLeft w:val="0"/>
      <w:marRight w:val="0"/>
      <w:marTop w:val="0"/>
      <w:marBottom w:val="0"/>
      <w:divBdr>
        <w:top w:val="none" w:sz="0" w:space="0" w:color="auto"/>
        <w:left w:val="none" w:sz="0" w:space="0" w:color="auto"/>
        <w:bottom w:val="none" w:sz="0" w:space="0" w:color="auto"/>
        <w:right w:val="none" w:sz="0" w:space="0" w:color="auto"/>
      </w:divBdr>
      <w:divsChild>
        <w:div w:id="1259294725">
          <w:marLeft w:val="0"/>
          <w:marRight w:val="0"/>
          <w:marTop w:val="0"/>
          <w:marBottom w:val="0"/>
          <w:divBdr>
            <w:top w:val="none" w:sz="0" w:space="0" w:color="auto"/>
            <w:left w:val="none" w:sz="0" w:space="0" w:color="auto"/>
            <w:bottom w:val="none" w:sz="0" w:space="0" w:color="auto"/>
            <w:right w:val="none" w:sz="0" w:space="0" w:color="auto"/>
          </w:divBdr>
          <w:divsChild>
            <w:div w:id="2023625257">
              <w:marLeft w:val="0"/>
              <w:marRight w:val="0"/>
              <w:marTop w:val="0"/>
              <w:marBottom w:val="0"/>
              <w:divBdr>
                <w:top w:val="none" w:sz="0" w:space="0" w:color="auto"/>
                <w:left w:val="none" w:sz="0" w:space="0" w:color="auto"/>
                <w:bottom w:val="none" w:sz="0" w:space="0" w:color="auto"/>
                <w:right w:val="none" w:sz="0" w:space="0" w:color="auto"/>
              </w:divBdr>
              <w:divsChild>
                <w:div w:id="475611077">
                  <w:marLeft w:val="0"/>
                  <w:marRight w:val="0"/>
                  <w:marTop w:val="0"/>
                  <w:marBottom w:val="0"/>
                  <w:divBdr>
                    <w:top w:val="none" w:sz="0" w:space="0" w:color="auto"/>
                    <w:left w:val="none" w:sz="0" w:space="0" w:color="auto"/>
                    <w:bottom w:val="none" w:sz="0" w:space="0" w:color="auto"/>
                    <w:right w:val="none" w:sz="0" w:space="0" w:color="auto"/>
                  </w:divBdr>
                  <w:divsChild>
                    <w:div w:id="943807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1260655">
      <w:bodyDiv w:val="1"/>
      <w:marLeft w:val="0"/>
      <w:marRight w:val="0"/>
      <w:marTop w:val="0"/>
      <w:marBottom w:val="0"/>
      <w:divBdr>
        <w:top w:val="none" w:sz="0" w:space="0" w:color="auto"/>
        <w:left w:val="none" w:sz="0" w:space="0" w:color="auto"/>
        <w:bottom w:val="none" w:sz="0" w:space="0" w:color="auto"/>
        <w:right w:val="none" w:sz="0" w:space="0" w:color="auto"/>
      </w:divBdr>
      <w:divsChild>
        <w:div w:id="814571603">
          <w:marLeft w:val="0"/>
          <w:marRight w:val="0"/>
          <w:marTop w:val="0"/>
          <w:marBottom w:val="0"/>
          <w:divBdr>
            <w:top w:val="none" w:sz="0" w:space="0" w:color="auto"/>
            <w:left w:val="none" w:sz="0" w:space="0" w:color="auto"/>
            <w:bottom w:val="none" w:sz="0" w:space="0" w:color="auto"/>
            <w:right w:val="none" w:sz="0" w:space="0" w:color="auto"/>
          </w:divBdr>
        </w:div>
      </w:divsChild>
    </w:div>
    <w:div w:id="1978218846">
      <w:bodyDiv w:val="1"/>
      <w:marLeft w:val="0"/>
      <w:marRight w:val="0"/>
      <w:marTop w:val="0"/>
      <w:marBottom w:val="0"/>
      <w:divBdr>
        <w:top w:val="none" w:sz="0" w:space="0" w:color="auto"/>
        <w:left w:val="none" w:sz="0" w:space="0" w:color="auto"/>
        <w:bottom w:val="none" w:sz="0" w:space="0" w:color="auto"/>
        <w:right w:val="none" w:sz="0" w:space="0" w:color="auto"/>
      </w:divBdr>
    </w:div>
    <w:div w:id="1990748729">
      <w:bodyDiv w:val="1"/>
      <w:marLeft w:val="0"/>
      <w:marRight w:val="0"/>
      <w:marTop w:val="0"/>
      <w:marBottom w:val="0"/>
      <w:divBdr>
        <w:top w:val="none" w:sz="0" w:space="0" w:color="auto"/>
        <w:left w:val="none" w:sz="0" w:space="0" w:color="auto"/>
        <w:bottom w:val="none" w:sz="0" w:space="0" w:color="auto"/>
        <w:right w:val="none" w:sz="0" w:space="0" w:color="auto"/>
      </w:divBdr>
      <w:divsChild>
        <w:div w:id="2050108382">
          <w:marLeft w:val="0"/>
          <w:marRight w:val="0"/>
          <w:marTop w:val="0"/>
          <w:marBottom w:val="0"/>
          <w:divBdr>
            <w:top w:val="none" w:sz="0" w:space="0" w:color="auto"/>
            <w:left w:val="none" w:sz="0" w:space="0" w:color="auto"/>
            <w:bottom w:val="none" w:sz="0" w:space="0" w:color="auto"/>
            <w:right w:val="none" w:sz="0" w:space="0" w:color="auto"/>
          </w:divBdr>
        </w:div>
      </w:divsChild>
    </w:div>
    <w:div w:id="2091538508">
      <w:bodyDiv w:val="1"/>
      <w:marLeft w:val="0"/>
      <w:marRight w:val="0"/>
      <w:marTop w:val="0"/>
      <w:marBottom w:val="0"/>
      <w:divBdr>
        <w:top w:val="none" w:sz="0" w:space="0" w:color="auto"/>
        <w:left w:val="none" w:sz="0" w:space="0" w:color="auto"/>
        <w:bottom w:val="none" w:sz="0" w:space="0" w:color="auto"/>
        <w:right w:val="none" w:sz="0" w:space="0" w:color="auto"/>
      </w:divBdr>
    </w:div>
    <w:div w:id="212507355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B6887D-38C4-480A-901C-8D4AA26CE4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15</Pages>
  <Words>18624</Words>
  <Characters>106161</Characters>
  <Application>Microsoft Office Word</Application>
  <DocSecurity>0</DocSecurity>
  <Lines>884</Lines>
  <Paragraphs>249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124536</CharactersWithSpaces>
  <SharedDoc>false</SharedDoc>
  <HLinks>
    <vt:vector size="6" baseType="variant">
      <vt:variant>
        <vt:i4>4456481</vt:i4>
      </vt:variant>
      <vt:variant>
        <vt:i4>0</vt:i4>
      </vt:variant>
      <vt:variant>
        <vt:i4>0</vt:i4>
      </vt:variant>
      <vt:variant>
        <vt:i4>5</vt:i4>
      </vt:variant>
      <vt:variant>
        <vt:lpwstr>mailto:popiradyuli@upiyptk.ac.id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cp:lastModifiedBy>
  <cp:revision>23</cp:revision>
  <cp:lastPrinted>2026-08-30T13:25:00Z</cp:lastPrinted>
  <dcterms:created xsi:type="dcterms:W3CDTF">2026-08-30T09:04:00Z</dcterms:created>
  <dcterms:modified xsi:type="dcterms:W3CDTF">2026-08-30T13:26:00Z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Citation Style_1">
    <vt:lpwstr>http://www.zotero.org/styles/apa</vt:lpwstr>
  </property>
  <property fmtid="{D5CDD505-2E9C-101B-9397-08002B2CF9AE}" pid="4" name="Mendeley Unique User Id_1">
    <vt:lpwstr>b07cda1e-5b94-36a5-9958-45d7afdc31bf</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 6th edition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11th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http://www.zotero.org/styles/modern-language-association</vt:lpwstr>
  </property>
  <property fmtid="{D5CDD505-2E9C-101B-9397-08002B2CF9AE}" pid="20" name="Mendeley Recent Style Name 7_1">
    <vt:lpwstr>Modern Language Association 9th edition</vt:lpwstr>
  </property>
  <property fmtid="{D5CDD505-2E9C-101B-9397-08002B2CF9AE}" pid="21" name="Mendeley Recent Style Id 8_1">
    <vt:lpwstr>http://www.zotero.org/styles/nature</vt:lpwstr>
  </property>
  <property fmtid="{D5CDD505-2E9C-101B-9397-08002B2CF9AE}" pid="22" name="Mendeley Recent Style Name 8_1">
    <vt:lpwstr>Nature</vt:lpwstr>
  </property>
  <property fmtid="{D5CDD505-2E9C-101B-9397-08002B2CF9AE}" pid="23" name="Mendeley Recent Style Id 9_1">
    <vt:lpwstr>http://www.zotero.org/styles/vancouver</vt:lpwstr>
  </property>
  <property fmtid="{D5CDD505-2E9C-101B-9397-08002B2CF9AE}" pid="24" name="Mendeley Recent Style Name 9_1">
    <vt:lpwstr>Vancouver</vt:lpwstr>
  </property>
  <property fmtid="{D5CDD505-2E9C-101B-9397-08002B2CF9AE}" pid="25" name="GrammarlyDocumentId">
    <vt:lpwstr>e68fd2a31d9e5b32176026fa7c7987b7f7a3667978dbdfffa1e4c749a81a964f</vt:lpwstr>
  </property>
  <property fmtid="{D5CDD505-2E9C-101B-9397-08002B2CF9AE}" pid="26" name="ZOTERO_PREF_1">
    <vt:lpwstr>&lt;data data-version="3" zotero-version="9.0.6"&gt;&lt;session id="aacEoiRi"/&gt;&lt;style id="http://www.zotero.org/styles/apa" locale="en-US" hasBibliography="1" bibliographyStyleHasBeenSet="1"/&gt;&lt;prefs&gt;&lt;pref name="fieldType" value="Field"/&gt;&lt;/prefs&gt;&lt;/data&gt;</vt:lpwstr>
  </property>
</Properties>
</file>