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332FF" w14:textId="257E6D7A" w:rsidR="00320BD4" w:rsidRPr="00320BD4" w:rsidRDefault="00D80EB0" w:rsidP="00D80EB0">
      <w:pPr>
        <w:spacing w:after="0" w:line="240" w:lineRule="auto"/>
        <w:jc w:val="both"/>
        <w:outlineLvl w:val="0"/>
        <w:rPr>
          <w:rFonts w:ascii="Times New Roman" w:eastAsia="Times New Roman" w:hAnsi="Times New Roman" w:cs="Times New Roman"/>
          <w:b/>
          <w:bCs/>
          <w:kern w:val="36"/>
          <w:sz w:val="28"/>
          <w:szCs w:val="28"/>
          <w14:ligatures w14:val="none"/>
        </w:rPr>
      </w:pPr>
      <w:r w:rsidRPr="002E72C4">
        <w:rPr>
          <w:rFonts w:ascii="Times New Roman" w:eastAsia="Times New Roman" w:hAnsi="Times New Roman" w:cs="Times New Roman"/>
          <w:b/>
          <w:bCs/>
          <w:kern w:val="36"/>
          <w:sz w:val="28"/>
          <w:szCs w:val="28"/>
          <w14:ligatures w14:val="none"/>
        </w:rPr>
        <w:t xml:space="preserve">Designing </w:t>
      </w:r>
      <w:r w:rsidR="00D3328B">
        <w:rPr>
          <w:rFonts w:ascii="Times New Roman" w:eastAsia="Times New Roman" w:hAnsi="Times New Roman" w:cs="Times New Roman"/>
          <w:b/>
          <w:bCs/>
          <w:kern w:val="36"/>
          <w:sz w:val="28"/>
          <w:szCs w:val="28"/>
          <w14:ligatures w14:val="none"/>
        </w:rPr>
        <w:t>S</w:t>
      </w:r>
      <w:r w:rsidRPr="002E72C4">
        <w:rPr>
          <w:rFonts w:ascii="Times New Roman" w:eastAsia="Times New Roman" w:hAnsi="Times New Roman" w:cs="Times New Roman"/>
          <w:b/>
          <w:bCs/>
          <w:kern w:val="36"/>
          <w:sz w:val="28"/>
          <w:szCs w:val="28"/>
          <w14:ligatures w14:val="none"/>
        </w:rPr>
        <w:t>elf-Regulated Learning Scaffolds in Distance Education: Enhancing Student Engagement and Online Persistence</w:t>
      </w:r>
    </w:p>
    <w:p w14:paraId="0ECBF701" w14:textId="1CBBD86B" w:rsidR="00D80EB0" w:rsidRPr="00B6078D" w:rsidRDefault="00D80EB0" w:rsidP="00320BD4">
      <w:pPr>
        <w:spacing w:before="100" w:beforeAutospacing="1" w:after="100" w:afterAutospacing="1" w:line="240" w:lineRule="auto"/>
        <w:rPr>
          <w:rFonts w:ascii="Times New Roman" w:eastAsia="Times New Roman" w:hAnsi="Times New Roman" w:cs="Times New Roman"/>
          <w:kern w:val="0"/>
          <w:sz w:val="24"/>
          <w:szCs w:val="24"/>
          <w:vertAlign w:val="superscript"/>
          <w14:ligatures w14:val="none"/>
        </w:rPr>
      </w:pPr>
      <w:r w:rsidRPr="00B6078D">
        <w:rPr>
          <w:rFonts w:ascii="Times New Roman" w:eastAsia="Times New Roman" w:hAnsi="Times New Roman" w:cs="Times New Roman"/>
          <w:kern w:val="0"/>
          <w:sz w:val="24"/>
          <w:szCs w:val="24"/>
          <w14:ligatures w14:val="none"/>
        </w:rPr>
        <w:t>Rasyid</w:t>
      </w:r>
      <w:r w:rsidR="007D18C2" w:rsidRPr="00B6078D">
        <w:rPr>
          <w:rFonts w:ascii="Times New Roman" w:eastAsia="Times New Roman" w:hAnsi="Times New Roman" w:cs="Times New Roman"/>
          <w:kern w:val="0"/>
          <w:sz w:val="24"/>
          <w:szCs w:val="24"/>
          <w14:ligatures w14:val="none"/>
        </w:rPr>
        <w:t xml:space="preserve"> </w:t>
      </w:r>
      <w:r w:rsidR="00B6078D" w:rsidRPr="00B6078D">
        <w:rPr>
          <w:rFonts w:ascii="Times New Roman" w:eastAsia="Times New Roman" w:hAnsi="Times New Roman" w:cs="Times New Roman"/>
          <w:kern w:val="0"/>
          <w:sz w:val="24"/>
          <w:szCs w:val="24"/>
          <w14:ligatures w14:val="none"/>
        </w:rPr>
        <w:t>AHMED</w:t>
      </w:r>
      <w:r w:rsidR="00D3328B">
        <w:rPr>
          <w:rFonts w:ascii="Times New Roman" w:eastAsia="Times New Roman" w:hAnsi="Times New Roman" w:cs="Times New Roman"/>
          <w:kern w:val="0"/>
          <w:sz w:val="24"/>
          <w:szCs w:val="24"/>
          <w:vertAlign w:val="superscript"/>
          <w14:ligatures w14:val="none"/>
        </w:rPr>
        <w:t>a</w:t>
      </w:r>
      <w:r w:rsidR="00B6078D" w:rsidRPr="00B6078D">
        <w:rPr>
          <w:rFonts w:ascii="Times New Roman" w:eastAsia="Times New Roman" w:hAnsi="Times New Roman" w:cs="Times New Roman"/>
          <w:kern w:val="0"/>
          <w:sz w:val="24"/>
          <w:szCs w:val="24"/>
          <w14:ligatures w14:val="none"/>
        </w:rPr>
        <w:t>, Ruth Rize Paas MEGAHATI S</w:t>
      </w:r>
      <w:r w:rsidR="00D3328B">
        <w:rPr>
          <w:rFonts w:ascii="Times New Roman" w:eastAsia="Times New Roman" w:hAnsi="Times New Roman" w:cs="Times New Roman"/>
          <w:kern w:val="0"/>
          <w:sz w:val="24"/>
          <w:szCs w:val="24"/>
          <w:vertAlign w:val="superscript"/>
          <w14:ligatures w14:val="none"/>
        </w:rPr>
        <w:t>b</w:t>
      </w:r>
    </w:p>
    <w:p w14:paraId="0FB3C4F4" w14:textId="1DAF1448" w:rsidR="00555588" w:rsidRDefault="00D3328B" w:rsidP="002E72C4">
      <w:pPr>
        <w:spacing w:after="0" w:line="240" w:lineRule="auto"/>
        <w:rPr>
          <w:rFonts w:ascii="Times New Roman" w:hAnsi="Times New Roman" w:cs="Times New Roman"/>
          <w:i/>
          <w:iCs/>
          <w:sz w:val="24"/>
          <w:szCs w:val="24"/>
          <w:shd w:val="clear" w:color="auto" w:fill="FFFFFF"/>
        </w:rPr>
      </w:pPr>
      <w:r>
        <w:rPr>
          <w:rFonts w:ascii="Times New Roman" w:hAnsi="Times New Roman" w:cs="Times New Roman"/>
          <w:i/>
          <w:iCs/>
          <w:sz w:val="24"/>
          <w:szCs w:val="24"/>
          <w:shd w:val="clear" w:color="auto" w:fill="FFFFFF"/>
          <w:vertAlign w:val="superscript"/>
        </w:rPr>
        <w:t>a</w:t>
      </w:r>
      <w:r w:rsidR="00555588" w:rsidRPr="005A03A6">
        <w:rPr>
          <w:rFonts w:ascii="Times New Roman" w:hAnsi="Times New Roman" w:cs="Times New Roman"/>
          <w:i/>
          <w:iCs/>
          <w:sz w:val="24"/>
          <w:szCs w:val="24"/>
          <w:shd w:val="clear" w:color="auto" w:fill="FFFFFF"/>
        </w:rPr>
        <w:t>North South University, Dhaka, Bangladesh</w:t>
      </w:r>
    </w:p>
    <w:p w14:paraId="6C1E0DB1" w14:textId="70727C1A" w:rsidR="00B6078D" w:rsidRDefault="00D3328B" w:rsidP="002E72C4">
      <w:pPr>
        <w:spacing w:after="0" w:line="240" w:lineRule="auto"/>
        <w:rPr>
          <w:rFonts w:ascii="Times New Roman" w:hAnsi="Times New Roman" w:cs="Times New Roman"/>
          <w:i/>
          <w:iCs/>
          <w:sz w:val="24"/>
          <w:szCs w:val="24"/>
          <w:shd w:val="clear" w:color="auto" w:fill="FFFFFF"/>
        </w:rPr>
      </w:pPr>
      <w:r>
        <w:rPr>
          <w:rFonts w:ascii="Times New Roman" w:hAnsi="Times New Roman" w:cs="Times New Roman"/>
          <w:i/>
          <w:iCs/>
          <w:sz w:val="24"/>
          <w:szCs w:val="24"/>
          <w:shd w:val="clear" w:color="auto" w:fill="FFFFFF"/>
          <w:vertAlign w:val="superscript"/>
        </w:rPr>
        <w:t>b</w:t>
      </w:r>
      <w:r w:rsidR="00B6078D">
        <w:rPr>
          <w:rFonts w:ascii="Times New Roman" w:hAnsi="Times New Roman" w:cs="Times New Roman"/>
          <w:i/>
          <w:iCs/>
          <w:sz w:val="24"/>
          <w:szCs w:val="24"/>
          <w:shd w:val="clear" w:color="auto" w:fill="FFFFFF"/>
        </w:rPr>
        <w:t xml:space="preserve">Universitas </w:t>
      </w:r>
      <w:r w:rsidR="001104BA">
        <w:rPr>
          <w:rFonts w:ascii="Times New Roman" w:hAnsi="Times New Roman" w:cs="Times New Roman"/>
          <w:i/>
          <w:iCs/>
          <w:sz w:val="24"/>
          <w:szCs w:val="24"/>
          <w:shd w:val="clear" w:color="auto" w:fill="FFFFFF"/>
        </w:rPr>
        <w:t xml:space="preserve">Nahdlatul </w:t>
      </w:r>
      <w:r w:rsidR="00B6078D">
        <w:rPr>
          <w:rFonts w:ascii="Times New Roman" w:hAnsi="Times New Roman" w:cs="Times New Roman"/>
          <w:i/>
          <w:iCs/>
          <w:sz w:val="24"/>
          <w:szCs w:val="24"/>
          <w:shd w:val="clear" w:color="auto" w:fill="FFFFFF"/>
        </w:rPr>
        <w:t>Ulama Sumatera Barat, Padang, Indonesia</w:t>
      </w:r>
    </w:p>
    <w:p w14:paraId="311B67E6" w14:textId="312EB08A" w:rsidR="005A03A6" w:rsidRDefault="005A03A6" w:rsidP="00320BD4">
      <w:pPr>
        <w:spacing w:before="100" w:beforeAutospacing="1" w:after="100" w:afterAutospacing="1" w:line="240" w:lineRule="auto"/>
        <w:outlineLvl w:val="2"/>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Cor</w:t>
      </w:r>
      <w:r w:rsidR="00C604B1">
        <w:rPr>
          <w:rFonts w:ascii="Times New Roman" w:eastAsia="Times New Roman" w:hAnsi="Times New Roman" w:cs="Times New Roman"/>
          <w:kern w:val="0"/>
          <w:sz w:val="24"/>
          <w:szCs w:val="24"/>
          <w14:ligatures w14:val="none"/>
        </w:rPr>
        <w:t>r</w:t>
      </w:r>
      <w:r>
        <w:rPr>
          <w:rFonts w:ascii="Times New Roman" w:eastAsia="Times New Roman" w:hAnsi="Times New Roman" w:cs="Times New Roman"/>
          <w:kern w:val="0"/>
          <w:sz w:val="24"/>
          <w:szCs w:val="24"/>
          <w14:ligatures w14:val="none"/>
        </w:rPr>
        <w:t xml:space="preserve">esponding author: </w:t>
      </w:r>
      <w:r w:rsidR="002E72C4">
        <w:rPr>
          <w:rFonts w:ascii="Times New Roman" w:eastAsia="Times New Roman" w:hAnsi="Times New Roman" w:cs="Times New Roman"/>
          <w:kern w:val="0"/>
          <w:sz w:val="24"/>
          <w:szCs w:val="24"/>
          <w14:ligatures w14:val="none"/>
        </w:rPr>
        <w:t>megahati71</w:t>
      </w:r>
      <w:r>
        <w:rPr>
          <w:rFonts w:ascii="Times New Roman" w:eastAsia="Times New Roman" w:hAnsi="Times New Roman" w:cs="Times New Roman"/>
          <w:kern w:val="0"/>
          <w:sz w:val="24"/>
          <w:szCs w:val="24"/>
          <w14:ligatures w14:val="none"/>
        </w:rPr>
        <w:t>@gmail.com</w:t>
      </w:r>
    </w:p>
    <w:p w14:paraId="577B442F" w14:textId="5010F87B" w:rsidR="00320BD4" w:rsidRDefault="006E757E" w:rsidP="006E757E">
      <w:pPr>
        <w:spacing w:after="0" w:line="240" w:lineRule="auto"/>
        <w:ind w:left="709"/>
        <w:jc w:val="both"/>
        <w:outlineLvl w:val="2"/>
        <w:rPr>
          <w:rFonts w:ascii="Times New Roman" w:eastAsia="Times New Roman" w:hAnsi="Times New Roman" w:cs="Times New Roman"/>
          <w:kern w:val="0"/>
          <w14:ligatures w14:val="none"/>
        </w:rPr>
      </w:pPr>
      <w:r w:rsidRPr="002E72C4">
        <w:rPr>
          <w:rFonts w:ascii="Times New Roman" w:eastAsia="Times New Roman" w:hAnsi="Times New Roman" w:cs="Times New Roman"/>
          <w:kern w:val="0"/>
          <w14:ligatures w14:val="none"/>
        </w:rPr>
        <w:t>Abstract</w:t>
      </w:r>
    </w:p>
    <w:p w14:paraId="36197102" w14:textId="77777777" w:rsidR="002E72C4" w:rsidRPr="00320BD4" w:rsidRDefault="002E72C4" w:rsidP="006E757E">
      <w:pPr>
        <w:spacing w:after="0" w:line="240" w:lineRule="auto"/>
        <w:ind w:left="709"/>
        <w:jc w:val="both"/>
        <w:outlineLvl w:val="2"/>
        <w:rPr>
          <w:rFonts w:ascii="Times New Roman" w:eastAsia="Times New Roman" w:hAnsi="Times New Roman" w:cs="Times New Roman"/>
          <w:kern w:val="0"/>
          <w14:ligatures w14:val="none"/>
        </w:rPr>
      </w:pPr>
    </w:p>
    <w:p w14:paraId="2EF3AF05" w14:textId="738F049C" w:rsidR="00320BD4" w:rsidRPr="002E72C4" w:rsidRDefault="00320BD4" w:rsidP="006E757E">
      <w:pPr>
        <w:spacing w:after="0" w:line="240" w:lineRule="auto"/>
        <w:ind w:left="709"/>
        <w:jc w:val="both"/>
        <w:rPr>
          <w:rFonts w:ascii="Times New Roman" w:eastAsia="Times New Roman" w:hAnsi="Times New Roman" w:cs="Times New Roman"/>
          <w:kern w:val="0"/>
          <w14:ligatures w14:val="none"/>
        </w:rPr>
      </w:pPr>
      <w:r w:rsidRPr="00320BD4">
        <w:rPr>
          <w:rFonts w:ascii="Times New Roman" w:eastAsia="Times New Roman" w:hAnsi="Times New Roman" w:cs="Times New Roman"/>
          <w:kern w:val="0"/>
          <w14:ligatures w14:val="none"/>
        </w:rPr>
        <w:t>The transition to distance education requires learners to possess high levels of autonomy and self-regulated learning (SRL) capabilities. However, many distance learners struggle with time management, goal setting, and cognitive fatigue due to physical isolation and the absence of real-time instructional pacing. While most online learning environments focus on content delivery, few systematically incorporate instructional scaffolds to support SRL processes. This study investigates the impact of integrating structured SRL scaffolding—comprising goal-setting templates, weekly reflective prompts, and automated progress feedback—into a 12-week distance education course. Using a mixed-methods approach with 142 undergraduate students, we evaluated changes in student engagement, self-efficacy, and academic persistence. Quantitative results revealed a significant improvement in academic task completion and course persistence among students exposed to SRL scaffolding compared to the control group. Qualitative feedback highlighted that metacognitive reflection prompts reduced feelings of transactional distance and enhanced study discipline. These findings suggest that designing intentionally scaffolded learning environments is critical for fostering long-term engagement and reducing dropout rates in digital and distance higher education.</w:t>
      </w:r>
    </w:p>
    <w:p w14:paraId="50B0D087" w14:textId="77777777" w:rsidR="006E757E" w:rsidRPr="00320BD4" w:rsidRDefault="006E757E" w:rsidP="006E757E">
      <w:pPr>
        <w:spacing w:after="0" w:line="240" w:lineRule="auto"/>
        <w:ind w:left="709"/>
        <w:jc w:val="both"/>
        <w:rPr>
          <w:rFonts w:ascii="Times New Roman" w:eastAsia="Times New Roman" w:hAnsi="Times New Roman" w:cs="Times New Roman"/>
          <w:kern w:val="0"/>
          <w14:ligatures w14:val="none"/>
        </w:rPr>
      </w:pPr>
    </w:p>
    <w:p w14:paraId="558E1487" w14:textId="3533BE73" w:rsidR="00320BD4" w:rsidRPr="002E72C4" w:rsidRDefault="00320BD4" w:rsidP="006E757E">
      <w:pPr>
        <w:spacing w:after="0" w:line="240" w:lineRule="auto"/>
        <w:ind w:left="709"/>
        <w:jc w:val="both"/>
        <w:rPr>
          <w:rFonts w:ascii="Times New Roman" w:eastAsia="Times New Roman" w:hAnsi="Times New Roman" w:cs="Times New Roman"/>
          <w:kern w:val="0"/>
          <w14:ligatures w14:val="none"/>
        </w:rPr>
      </w:pPr>
      <w:r w:rsidRPr="00320BD4">
        <w:rPr>
          <w:rFonts w:ascii="Times New Roman" w:eastAsia="Times New Roman" w:hAnsi="Times New Roman" w:cs="Times New Roman"/>
          <w:kern w:val="0"/>
          <w14:ligatures w14:val="none"/>
        </w:rPr>
        <w:t xml:space="preserve">Keywords: Distance </w:t>
      </w:r>
      <w:r w:rsidR="006E757E" w:rsidRPr="002E72C4">
        <w:rPr>
          <w:rFonts w:ascii="Times New Roman" w:eastAsia="Times New Roman" w:hAnsi="Times New Roman" w:cs="Times New Roman"/>
          <w:kern w:val="0"/>
          <w14:ligatures w14:val="none"/>
        </w:rPr>
        <w:t>education, self-regulated learning, instructional scaffolding, online engagement, learning design, student persistence.</w:t>
      </w:r>
    </w:p>
    <w:p w14:paraId="7503F2F5" w14:textId="77777777" w:rsidR="006E757E" w:rsidRPr="00320BD4" w:rsidRDefault="006E757E" w:rsidP="006E757E">
      <w:pPr>
        <w:spacing w:after="0" w:line="240" w:lineRule="auto"/>
        <w:ind w:left="709"/>
        <w:jc w:val="both"/>
        <w:rPr>
          <w:rFonts w:ascii="Times New Roman" w:eastAsia="Times New Roman" w:hAnsi="Times New Roman" w:cs="Times New Roman"/>
          <w:kern w:val="0"/>
          <w:sz w:val="24"/>
          <w:szCs w:val="24"/>
          <w14:ligatures w14:val="none"/>
        </w:rPr>
      </w:pPr>
    </w:p>
    <w:p w14:paraId="0C0BF9BD" w14:textId="77777777" w:rsidR="00D3328B" w:rsidRDefault="001104BA" w:rsidP="001104BA">
      <w:pPr>
        <w:spacing w:after="0" w:line="240" w:lineRule="auto"/>
        <w:jc w:val="both"/>
        <w:outlineLvl w:val="2"/>
        <w:rPr>
          <w:rFonts w:ascii="Times New Roman" w:hAnsi="Times New Roman" w:cs="Times New Roman"/>
          <w:sz w:val="24"/>
          <w:szCs w:val="24"/>
        </w:rPr>
        <w:sectPr w:rsidR="00D3328B" w:rsidSect="00D3328B">
          <w:headerReference w:type="default" r:id="rId7"/>
          <w:footerReference w:type="default" r:id="rId8"/>
          <w:type w:val="continuous"/>
          <w:pgSz w:w="12240" w:h="15840"/>
          <w:pgMar w:top="1440" w:right="1440" w:bottom="1440" w:left="1440" w:header="720" w:footer="720" w:gutter="0"/>
          <w:pgNumType w:start="2286"/>
          <w:cols w:space="720"/>
          <w:docGrid w:linePitch="360"/>
        </w:sectPr>
      </w:pPr>
      <w:r w:rsidRPr="001104BA">
        <w:rPr>
          <w:rFonts w:ascii="Times New Roman" w:hAnsi="Times New Roman" w:cs="Times New Roman"/>
          <w:b/>
          <w:bCs/>
          <w:sz w:val="24"/>
          <w:szCs w:val="24"/>
        </w:rPr>
        <w:t>Acknowledgements</w:t>
      </w:r>
      <w:r w:rsidRPr="001104BA">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1104BA">
        <w:rPr>
          <w:rFonts w:ascii="Times New Roman" w:hAnsi="Times New Roman" w:cs="Times New Roman"/>
          <w:sz w:val="24"/>
          <w:szCs w:val="24"/>
        </w:rPr>
        <w:t xml:space="preserve">The authors extend their sincere gratitude to all 142 undergraduate students who participated in this 12-week study, as well as the course instructors and instructional designers who assisted in implementing the structured SRL scaffolding tools. The authors are also grateful to the distance education department for providing institutional support and access to the online learning environment. </w:t>
      </w:r>
    </w:p>
    <w:p w14:paraId="78026CF8" w14:textId="4DB47FA8" w:rsidR="001104BA" w:rsidRDefault="001104BA" w:rsidP="001104BA">
      <w:pPr>
        <w:spacing w:after="0" w:line="240" w:lineRule="auto"/>
        <w:jc w:val="both"/>
        <w:outlineLvl w:val="2"/>
        <w:rPr>
          <w:rFonts w:ascii="Times New Roman" w:hAnsi="Times New Roman" w:cs="Times New Roman"/>
          <w:sz w:val="24"/>
          <w:szCs w:val="24"/>
        </w:rPr>
      </w:pPr>
    </w:p>
    <w:p w14:paraId="2293BF3A" w14:textId="77777777" w:rsidR="001104BA" w:rsidRDefault="001104BA" w:rsidP="001104BA">
      <w:pPr>
        <w:spacing w:after="0" w:line="240" w:lineRule="auto"/>
        <w:jc w:val="both"/>
        <w:outlineLvl w:val="2"/>
        <w:rPr>
          <w:rFonts w:ascii="Times New Roman" w:hAnsi="Times New Roman" w:cs="Times New Roman"/>
          <w:sz w:val="24"/>
          <w:szCs w:val="24"/>
        </w:rPr>
      </w:pPr>
    </w:p>
    <w:p w14:paraId="42788434" w14:textId="77777777" w:rsidR="00D3328B" w:rsidRDefault="001104BA" w:rsidP="00D3328B">
      <w:pPr>
        <w:spacing w:after="0" w:line="240" w:lineRule="auto"/>
        <w:jc w:val="both"/>
        <w:rPr>
          <w:rFonts w:ascii="Times New Roman" w:hAnsi="Times New Roman" w:cs="Times New Roman"/>
          <w:b/>
          <w:bCs/>
          <w:sz w:val="24"/>
          <w:szCs w:val="24"/>
        </w:rPr>
        <w:sectPr w:rsidR="00D3328B" w:rsidSect="001104BA">
          <w:headerReference w:type="default" r:id="rId9"/>
          <w:footerReference w:type="default" r:id="rId10"/>
          <w:type w:val="continuous"/>
          <w:pgSz w:w="12240" w:h="15840"/>
          <w:pgMar w:top="1440" w:right="1440" w:bottom="1440" w:left="1440" w:header="720" w:footer="720" w:gutter="0"/>
          <w:cols w:space="720"/>
          <w:docGrid w:linePitch="360"/>
        </w:sectPr>
      </w:pPr>
      <w:r w:rsidRPr="001104BA">
        <w:rPr>
          <w:rFonts w:ascii="Times New Roman" w:hAnsi="Times New Roman" w:cs="Times New Roman"/>
          <w:b/>
          <w:bCs/>
          <w:sz w:val="24"/>
          <w:szCs w:val="24"/>
        </w:rPr>
        <w:lastRenderedPageBreak/>
        <w:t>For citation:</w:t>
      </w:r>
    </w:p>
    <w:p w14:paraId="0702DF26" w14:textId="780C0F8C" w:rsidR="00D3328B" w:rsidRDefault="001104BA" w:rsidP="00D3328B">
      <w:pPr>
        <w:spacing w:after="0" w:line="240" w:lineRule="auto"/>
        <w:ind w:left="900" w:hanging="900"/>
        <w:jc w:val="both"/>
        <w:rPr>
          <w:rFonts w:ascii="Times New Roman" w:hAnsi="Times New Roman" w:cs="Times New Roman"/>
          <w:color w:val="0066FF"/>
          <w:sz w:val="24"/>
          <w:szCs w:val="24"/>
        </w:rPr>
        <w:sectPr w:rsidR="00D3328B" w:rsidSect="001104BA">
          <w:type w:val="continuous"/>
          <w:pgSz w:w="12240" w:h="15840"/>
          <w:pgMar w:top="1440" w:right="1440" w:bottom="1440" w:left="1440" w:header="720" w:footer="720" w:gutter="0"/>
          <w:cols w:space="720"/>
          <w:docGrid w:linePitch="360"/>
        </w:sectPr>
      </w:pPr>
      <w:r w:rsidRPr="001104BA">
        <w:rPr>
          <w:rFonts w:ascii="Times New Roman" w:hAnsi="Times New Roman" w:cs="Times New Roman"/>
          <w:sz w:val="24"/>
          <w:szCs w:val="24"/>
        </w:rPr>
        <w:t>Ahmed, R &amp; Megahati S, R. R. P.</w:t>
      </w:r>
      <w:r w:rsidRPr="001104BA">
        <w:rPr>
          <w:rFonts w:ascii="Times New Roman" w:hAnsi="Times New Roman" w:cs="Times New Roman"/>
          <w:sz w:val="24"/>
          <w:szCs w:val="24"/>
        </w:rPr>
        <w:t xml:space="preserve"> (2026). Designing Self-Regulated Learning Scaffolds in Distance Education: Enhancing Student Engagement and Online Persistence</w:t>
      </w:r>
      <w:r w:rsidRPr="001104BA">
        <w:rPr>
          <w:rFonts w:ascii="Times New Roman" w:hAnsi="Times New Roman" w:cs="Times New Roman"/>
          <w:sz w:val="24"/>
          <w:szCs w:val="24"/>
        </w:rPr>
        <w:t xml:space="preserve">. </w:t>
      </w:r>
      <w:r w:rsidRPr="001104BA">
        <w:rPr>
          <w:rFonts w:ascii="Times New Roman" w:hAnsi="Times New Roman" w:cs="Times New Roman"/>
          <w:i/>
          <w:iCs/>
          <w:sz w:val="24"/>
          <w:szCs w:val="24"/>
        </w:rPr>
        <w:t>Journal of Digital Learning and Distance Education, 5</w:t>
      </w:r>
      <w:r w:rsidRPr="001104BA">
        <w:rPr>
          <w:rFonts w:ascii="Times New Roman" w:hAnsi="Times New Roman" w:cs="Times New Roman"/>
          <w:sz w:val="24"/>
          <w:szCs w:val="24"/>
        </w:rPr>
        <w:t>(4), 228</w:t>
      </w:r>
      <w:r w:rsidRPr="001104BA">
        <w:rPr>
          <w:rFonts w:ascii="Times New Roman" w:hAnsi="Times New Roman" w:cs="Times New Roman"/>
          <w:sz w:val="24"/>
          <w:szCs w:val="24"/>
        </w:rPr>
        <w:t>6</w:t>
      </w:r>
      <w:r w:rsidR="00A93354">
        <w:rPr>
          <w:rFonts w:ascii="Times New Roman" w:hAnsi="Times New Roman" w:cs="Times New Roman"/>
          <w:sz w:val="24"/>
          <w:szCs w:val="24"/>
        </w:rPr>
        <w:t>-2298</w:t>
      </w:r>
      <w:r w:rsidRPr="001104BA">
        <w:rPr>
          <w:rFonts w:ascii="Times New Roman" w:hAnsi="Times New Roman" w:cs="Times New Roman"/>
          <w:sz w:val="24"/>
          <w:szCs w:val="24"/>
        </w:rPr>
        <w:t xml:space="preserve">. </w:t>
      </w:r>
      <w:hyperlink r:id="rId11" w:history="1">
        <w:r w:rsidRPr="001104BA">
          <w:rPr>
            <w:rStyle w:val="Hyperlink"/>
            <w:rFonts w:ascii="Times New Roman" w:hAnsi="Times New Roman" w:cs="Times New Roman"/>
            <w:color w:val="0066FF"/>
            <w:sz w:val="24"/>
            <w:szCs w:val="24"/>
            <w:u w:val="none"/>
          </w:rPr>
          <w:t>https://doi.org/10.56778/jdlde.v5i4.</w:t>
        </w:r>
      </w:hyperlink>
      <w:r w:rsidRPr="001104BA">
        <w:rPr>
          <w:rFonts w:ascii="Times New Roman" w:hAnsi="Times New Roman" w:cs="Times New Roman"/>
          <w:color w:val="0066FF"/>
          <w:sz w:val="24"/>
          <w:szCs w:val="24"/>
        </w:rPr>
        <w:t>78</w:t>
      </w:r>
      <w:r w:rsidRPr="001104BA">
        <w:rPr>
          <w:rFonts w:ascii="Times New Roman" w:hAnsi="Times New Roman" w:cs="Times New Roman"/>
          <w:color w:val="0066FF"/>
          <w:sz w:val="24"/>
          <w:szCs w:val="24"/>
        </w:rPr>
        <w:t>2</w:t>
      </w:r>
    </w:p>
    <w:p w14:paraId="04E2D25D" w14:textId="4C0C0156" w:rsidR="001104BA" w:rsidRPr="00D3328B" w:rsidRDefault="001104BA" w:rsidP="00D3328B">
      <w:pPr>
        <w:tabs>
          <w:tab w:val="left" w:pos="1240"/>
        </w:tabs>
        <w:rPr>
          <w:rFonts w:ascii="Times New Roman" w:hAnsi="Times New Roman" w:cs="Times New Roman"/>
          <w:b/>
          <w:bCs/>
          <w:sz w:val="24"/>
          <w:szCs w:val="24"/>
        </w:rPr>
      </w:pPr>
    </w:p>
    <w:p w14:paraId="3E43FDA2" w14:textId="65AF10E7" w:rsidR="00FD64AE" w:rsidRDefault="006E757E" w:rsidP="004E6BA5">
      <w:pPr>
        <w:spacing w:after="0" w:line="240" w:lineRule="auto"/>
        <w:outlineLvl w:val="2"/>
        <w:rPr>
          <w:rFonts w:ascii="Times New Roman" w:eastAsia="Times New Roman" w:hAnsi="Times New Roman" w:cs="Times New Roman"/>
          <w:b/>
          <w:bCs/>
          <w:kern w:val="0"/>
          <w:sz w:val="24"/>
          <w:szCs w:val="24"/>
          <w14:ligatures w14:val="none"/>
        </w:rPr>
        <w:sectPr w:rsidR="00FD64AE" w:rsidSect="001104BA">
          <w:footerReference w:type="default" r:id="rId12"/>
          <w:type w:val="continuous"/>
          <w:pgSz w:w="12240" w:h="15840"/>
          <w:pgMar w:top="1440" w:right="1440" w:bottom="1440" w:left="1440" w:header="720" w:footer="720" w:gutter="0"/>
          <w:cols w:space="720"/>
          <w:docGrid w:linePitch="360"/>
        </w:sectPr>
      </w:pPr>
      <w:r w:rsidRPr="004E6BA5">
        <w:rPr>
          <w:rFonts w:ascii="Times New Roman" w:eastAsia="Times New Roman" w:hAnsi="Times New Roman" w:cs="Times New Roman"/>
          <w:b/>
          <w:bCs/>
          <w:kern w:val="0"/>
          <w:sz w:val="24"/>
          <w:szCs w:val="24"/>
          <w14:ligatures w14:val="none"/>
        </w:rPr>
        <w:t>Introduction</w:t>
      </w:r>
    </w:p>
    <w:p w14:paraId="31D673CF" w14:textId="77777777" w:rsidR="004E6BA5" w:rsidRPr="004E6BA5" w:rsidRDefault="004E6BA5" w:rsidP="004E6BA5">
      <w:pPr>
        <w:spacing w:after="0" w:line="240" w:lineRule="auto"/>
        <w:outlineLvl w:val="2"/>
        <w:rPr>
          <w:rFonts w:ascii="Times New Roman" w:eastAsia="Times New Roman" w:hAnsi="Times New Roman" w:cs="Times New Roman"/>
          <w:b/>
          <w:bCs/>
          <w:kern w:val="0"/>
          <w:sz w:val="24"/>
          <w:szCs w:val="24"/>
          <w14:ligatures w14:val="none"/>
        </w:rPr>
      </w:pPr>
    </w:p>
    <w:p w14:paraId="14FD45CC" w14:textId="483DF399" w:rsidR="004E6BA5" w:rsidRPr="004E6BA5" w:rsidRDefault="004E6BA5" w:rsidP="00FD64AE">
      <w:pPr>
        <w:spacing w:after="0" w:line="240" w:lineRule="auto"/>
        <w:ind w:firstLine="720"/>
        <w:jc w:val="both"/>
        <w:rPr>
          <w:rFonts w:ascii="Times New Roman" w:eastAsia="Times New Roman" w:hAnsi="Times New Roman" w:cs="Times New Roman"/>
          <w:kern w:val="0"/>
          <w:sz w:val="24"/>
          <w:szCs w:val="24"/>
          <w14:ligatures w14:val="none"/>
        </w:rPr>
      </w:pPr>
      <w:r w:rsidRPr="004E6BA5">
        <w:rPr>
          <w:rFonts w:ascii="Times New Roman" w:eastAsia="Times New Roman" w:hAnsi="Times New Roman" w:cs="Times New Roman"/>
          <w:kern w:val="0"/>
          <w:sz w:val="24"/>
          <w:szCs w:val="24"/>
          <w14:ligatures w14:val="none"/>
        </w:rPr>
        <w:t>Distance education has fundamentally transformed the global higher education landscape by expanding learning accessibility across demographic boundaries and offering flexible, asynchronous opportunities for diverse student populations. By removing geographical constraints and rigid scheduling, distance learning platforms empower adult learners, working professionals, and non-traditional students to pursue academic degrees alongside personal and professional responsi</w:t>
      </w:r>
      <w:r w:rsidR="00FD64AE">
        <w:rPr>
          <w:rFonts w:ascii="Times New Roman" w:eastAsia="Times New Roman" w:hAnsi="Times New Roman" w:cs="Times New Roman"/>
          <w:kern w:val="0"/>
          <w:sz w:val="24"/>
          <w:szCs w:val="24"/>
          <w14:ligatures w14:val="none"/>
        </w:rPr>
        <w:t>b</w:t>
      </w:r>
      <w:r w:rsidRPr="004E6BA5">
        <w:rPr>
          <w:rFonts w:ascii="Times New Roman" w:eastAsia="Times New Roman" w:hAnsi="Times New Roman" w:cs="Times New Roman"/>
          <w:kern w:val="0"/>
          <w:sz w:val="24"/>
          <w:szCs w:val="24"/>
          <w14:ligatures w14:val="none"/>
        </w:rPr>
        <w:t>ilities</w:t>
      </w:r>
      <w:r w:rsidR="006E0408">
        <w:rPr>
          <w:rFonts w:ascii="Times New Roman" w:eastAsia="Times New Roman" w:hAnsi="Times New Roman" w:cs="Times New Roman"/>
          <w:kern w:val="0"/>
          <w:sz w:val="24"/>
          <w:szCs w:val="24"/>
          <w14:ligatures w14:val="none"/>
        </w:rPr>
        <w:t xml:space="preserve"> </w:t>
      </w:r>
      <w:r w:rsidR="006E0408">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{"citationID":"LTY2XR6I","properties":{"formattedCitation":"(Sari, 2026)","plainCitation":"(Sari, 2026)","noteIndex":0},"citationItems":[{"id":"NaBsQCiw/maJEr5Bb","uris":["http://zotero.org/users/local/DMv4uL3N/items/XTYI6JCN"],"itemData":{"id":17330,"type":"chapter","abstract":"This chapter offers a comprehensive examination of the evolution, theoretical foundations, and technological transformation of distance education. Initially developed to overcome geographical and socioeconomic barriers, distance education has evolved from correspondence-based instruction to radio, television, and modern digital platforms with synchronous and asynchronous modalities. The COVID-19 pandemic significantly accelerated this transformation. The chapter draws on Moore's Transactional Distance Theory, Holmberg's communication-based model, and Siemens' Connectivism to explore the roles of structure, dialogue, and learner autonomy. Constructivist pedagogy and student-centered teaching strategies are also discussed. Challenges such as communication barriers, digital literacy inequalities, and infrastructure limitations are critically examined in relation to educational effectiveness. The concluding section highlights the potential of artificial intelligence, adaptive learning systems, and immersive technologies such as VR and AR in shaping the future of distance learning.","container-title":"Global Competencies and Intercultural Learning","DOI":"10.4018/979-8-3373-2622-1.ch011","ISBN":"979-8-3373-2622-1","language":"ng","page":"285-310","publisher":"IGI Global Scientific Publishing","source":"DOI.org (Crossref)","title":"Distance Education: Theory, Practice, and Evaluation","title-short":"Distance Education","URL":"https://services.igi-global.com/resolvedoi/resolve.aspx?doi=10.4018/979-8-3373-2622-1.ch011","editor":[{"family":"Yünkül","given":"Eyup"},{"family":"Güneş","given":"Ahmet Melih"}],"author":[{"family":"Sari","given":"Yunus Emre"}],"accessed":{"date-parts":[["2026",9,22]]},"issued":{"date-parts":[["2026",1,21]]}}}],"schema":"https://github.com/citation-style-language/schema/raw/master/csl-citation.json"} </w:instrText>
      </w:r>
      <w:r w:rsidR="006E0408">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(Sari, 2026)</w:t>
      </w:r>
      <w:r w:rsidR="006E0408">
        <w:rPr>
          <w:rFonts w:ascii="Times New Roman" w:eastAsia="Times New Roman" w:hAnsi="Times New Roman" w:cs="Times New Roman"/>
          <w:kern w:val="0"/>
          <w:sz w:val="24"/>
          <w:szCs w:val="24"/>
          <w14:ligatures w14:val="none"/>
        </w:rPr>
        <w:fldChar w:fldCharType="end"/>
      </w:r>
      <w:r w:rsidRPr="004E6BA5">
        <w:rPr>
          <w:rFonts w:ascii="Times New Roman" w:eastAsia="Times New Roman" w:hAnsi="Times New Roman" w:cs="Times New Roman"/>
          <w:kern w:val="0"/>
          <w:sz w:val="24"/>
          <w:szCs w:val="24"/>
          <w14:ligatures w14:val="none"/>
        </w:rPr>
        <w:t>. Despite these profound advantages, distance learning environments present distinct and complex pedagogical challenges that directly impact academic success. The physical, temporal, and psychological separation between instructors and students—often conceptualized in educational literature as transactional distance—demands an exceptionally high degree of learner autonomy</w:t>
      </w:r>
      <w:r w:rsidR="006E0408">
        <w:rPr>
          <w:rFonts w:ascii="Times New Roman" w:eastAsia="Times New Roman" w:hAnsi="Times New Roman" w:cs="Times New Roman"/>
          <w:kern w:val="0"/>
          <w:sz w:val="24"/>
          <w:szCs w:val="24"/>
          <w14:ligatures w14:val="none"/>
        </w:rPr>
        <w:t xml:space="preserve"> </w:t>
      </w:r>
      <w:r w:rsidR="006E0408">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{"citationID":"UGmmJF7X","properties":{"formattedCitation":"(Espinosa Cevallos, 2024)","plainCitation":"(Espinosa Cevallos, 2024)","noteIndex":0},"citationItems":[{"id":"NaBsQCiw/UfL5L98D","uris":["http://zotero.org/users/local/DMv4uL3N/items/GVUE9FR8"],"itemData":{"id":17331,"type":"article-journal","abstract":"La evaluación del impacto de la educación a distancia en el rendimiento académico de los estudiantes revela una compleja interacción entre ventajas y desafíos. Los estudios revisados destacan la flexibilidad horaria y la accesibilidad de recursos educativos como aspectos clave que favorecen el éxito académico en entornos virtuales, permitiendo a los estudiantes gestionar su tiempo de estudio de manera más eficiente y acceder a materiales de alta calidad desde cualquier ubicación. Además, la interacción con docentes y compañeros a través de herramientas tecnológicas promueve el intercambio de ideas y la colaboración, enriqueciendo así la experiencia de aprendizaje y contribuyendo a un mejor desempeño académico. Sin embargo, se identifican desafíos significativos, como la falta de motivación intrínseca, las dificultades para mantener la disciplina y la concentración en entornos virtuales, y la necesidad de una mayor autonomía en el aprendizaje. Estos obstáculos requieren estrategias específicas de apoyo, como programas de orientación en línea, entornos virtuales interactivos y técnicas de motivación adaptadas al contexto digital. En conclusión, la educación a distancia ofrece una alternativa efectiva para el aprendizaje, pero es fundamental abordar sus desafíos para garantizar el éxito académico de todos los estudiantes. Adoptando un enfoque centrado en el estudiante y utilizando tecnologías educativas innovadoras, es posible maximizar los beneficios de esta modalidad educativa y promover un aprendizaje efectivo y significativo en línea.","container-title":"REVISTA MULTIDISCIPLINARIA DE DESARROLLO AGROPECUARIO, TECNOLÓGICO, EMPRESARIAL Y HUMANISTA.","DOI":"10.61236/dateh.v6i1.880","ISSN":"2773-7527","issue":"1","journalAbbreviation":"dateh","page":"5","source":"DOI.org (Crossref)","title":"Evaluación del impacto de la educación a distancia en el rendimiento académico de los estudiantes","volume":"6","author":[{"family":"Espinosa Cevallos","given":"Paola Alejandra"}],"issued":{"date-parts":[["2024",5,28]]}}}],"schema":"https://github.com/citation-style-language/schema/raw/master/csl-citation.json"} </w:instrText>
      </w:r>
      <w:r w:rsidR="006E0408">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(Espinosa Cevallos, 2024</w:t>
      </w:r>
      <w:r w:rsidR="006E0408">
        <w:rPr>
          <w:rFonts w:ascii="Times New Roman" w:eastAsia="Times New Roman" w:hAnsi="Times New Roman" w:cs="Times New Roman"/>
          <w:kern w:val="0"/>
          <w:sz w:val="24"/>
          <w:szCs w:val="24"/>
          <w14:ligatures w14:val="none"/>
        </w:rPr>
        <w:fldChar w:fldCharType="end"/>
      </w:r>
      <w:r w:rsidR="00E34521">
        <w:rPr>
          <w:rFonts w:ascii="Times New Roman" w:eastAsia="Times New Roman" w:hAnsi="Times New Roman" w:cs="Times New Roman"/>
          <w:kern w:val="0"/>
          <w:sz w:val="24"/>
          <w:szCs w:val="24"/>
          <w14:ligatures w14:val="none"/>
        </w:rPr>
        <w:t xml:space="preserve">; </w:t>
      </w:r>
      <w:r w:rsidR="00E34521">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{"citationID":"xyGLSg7K","properties":{"formattedCitation":"(Abhijeet et al., 2023)","plainCitation":"(Abhijeet et al., 2023)","noteIndex":0},"citationItems":[{"id":"NaBsQCiw/W5fhI7i0","uris":["http://zotero.org/users/local/DMv4uL3N/items/T34KV2J9"],"itemData":{"id":17333,"type":"article-journal","abstract":"This comprehensive review aims to analyse the role of distance learning programs in the development of the global education system. With advancements in technology and the growing demand for flexible and accessible education, distance learning has emerged as a crucial component of the global educational landscape. This paper examines the impacts and benefits of distance learning programs, including their contribution to expanding access to education, fostering lifelong learning, and promoting educational equity. It also explores the challenges and limitations associated with distance learning, such as the need for reliable internet connectivity, technological infrastructure, and student engagement. Through a systematic analysis of scholarly articles, reports, and case studies, this review provides insights into how distance learning programs are shaping the future of education on a global scale. Additionally, it discusses the implications for policymakers, educators, and students, highlighting the potential of distance learning to bridge educational gaps, promote inclusivity, and empower individuals to pursue education regardless of their geographical location or socioeconomic circumstances.","container-title":"Current Journal of Applied Science and Technology","DOI":"10.9734/cjast/2023/v42i484327","ISSN":"2457-1024","issue":"48","journalAbbreviation":"CJAST","page":"23-34","source":"DOI.org (Crossref)","title":"A comprehensive Review on Role of Distance Learning Program towards the Development of Global Education System","volume":"42","author":[{"literal":"Abhijeet"},{"family":"Dhurve","given":"Lalit"},{"family":"Singh","given":"Harish Chandra"},{"family":"Maurya","given":"Durgesh Kumar"},{"family":"Lohare","given":"Ramesh"},{"family":"Tripathi","given":"Somdutt"},{"family":"Kumar","given":"Arun"},{"family":"Nagar","given":"Amit"}],"issued":{"date-parts":[["2023",12,24]]}}}],"schema":"https://github.com/citation-style-language/schema/raw/master/csl-citation.json"} </w:instrText>
      </w:r>
      <w:r w:rsidR="00E34521">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Abhijeet et al., 2023)</w:t>
      </w:r>
      <w:r w:rsidR="00E34521">
        <w:rPr>
          <w:rFonts w:ascii="Times New Roman" w:eastAsia="Times New Roman" w:hAnsi="Times New Roman" w:cs="Times New Roman"/>
          <w:kern w:val="0"/>
          <w:sz w:val="24"/>
          <w:szCs w:val="24"/>
          <w14:ligatures w14:val="none"/>
        </w:rPr>
        <w:fldChar w:fldCharType="end"/>
      </w:r>
      <w:r w:rsidRPr="004E6BA5">
        <w:rPr>
          <w:rFonts w:ascii="Times New Roman" w:eastAsia="Times New Roman" w:hAnsi="Times New Roman" w:cs="Times New Roman"/>
          <w:kern w:val="0"/>
          <w:sz w:val="24"/>
          <w:szCs w:val="24"/>
          <w14:ligatures w14:val="none"/>
        </w:rPr>
        <w:t>. Unlike traditional face-to-face classrooms where physical attendance, peer dynamics, and immediate instructor feedback naturally reinforce study routines, distance learners must independently navigate complex digital learning materials, regulate their time management, and sustain intrinsic motivation across extended academic terms</w:t>
      </w:r>
      <w:r w:rsidR="00E34521">
        <w:rPr>
          <w:rFonts w:ascii="Times New Roman" w:eastAsia="Times New Roman" w:hAnsi="Times New Roman" w:cs="Times New Roman"/>
          <w:kern w:val="0"/>
          <w:sz w:val="24"/>
          <w:szCs w:val="24"/>
          <w14:ligatures w14:val="none"/>
        </w:rPr>
        <w:t xml:space="preserve"> </w:t>
      </w:r>
      <w:r w:rsidR="00E34521">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{"citationID":"CqSKciDE","properties":{"formattedCitation":"(Barradas Arenas et al., 2025)","plainCitation":"(Barradas Arenas et al., 2025)","noteIndex":0},"citationItems":[{"id":"NaBsQCiw/YnBq31wy","uris":["http://zotero.org/users/local/DMv4uL3N/items/5J3VR8CI"],"itemData":{"id":17334,"type":"article-journal","abstract":"El objetivo del estudio fue diseñar, implementar y evaluar estrategias pedagógicas para fomentar el aprendizaje autónomo en estudiantes de la licenciatura en Tecnologías de la Información a distancia en la Universidad Autónoma del Carmen (UNACAR). Se empleó un enfoque cuantitativo con diseño cuasiexperimental, utilizando pretest y postest en una muestra de 25 estudiantes. Los resultados mostraron una mejora significativa en las habilidades de autorregulación tras la intervención. Las estrategias clave incluyeron la planificación del tiempo, la autoevaluación y el uso de recursos tecnológicos. El estudio confirmó la efectividad de las intervenciones y aportó herramientas replicables para mejorar el aprendizaje autónomo en educación a distancia.\nAbstract\nThe objective of this research was the design, implementation and evaluation of pedagogical strategies foster autonomous learning among distance learning students majoring in Information Technologies at the Universidad Autónoma del Carmen (UNACAR). A quantitative approach with a quasi-experimental design was used, employing pre and post test on a sample of 25 students. The results showed a significant improvement in self-regulation skills after the intervention. Key strategies included time planning, self-assessment and the use of technological sources. The study confirmed the effectiveness of the interventions and provided replicable tools to improve autonomous distance learning.","container-title":"Revista RELEP- Educación y Pedagogía en Latinoamérica","DOI":"10.46990/relep.2025.7.3.2197","ISSN":"2594-2913","issue":"3","journalAbbreviation":"RELEP","source":"DOI.org (Crossref)","title":"Estrategias para el desarrollo del aprendizaje autónomo en estudiantes universitarios de educación a distancia: Strategies for Autonomous Learning Development in Distance Education University Students","title-short":"Estrategias para el desarrollo del aprendizaje autónomo en estudiantes universitarios de educación a distancia","URL":"https://iquatroeditores.org/revista/index.php/relep/article/view/2197","volume":"7","author":[{"family":"Barradas Arenas","given":"Ulises Daniel"},{"family":"Alcocer Campos","given":"Mario Humberto"},{"family":"De Los Santos Manuel","given":"Romelia"},{"family":"Chi Kuk","given":"Juan Antonio"}],"accessed":{"date-parts":[["2026",9,22]]},"issued":{"date-parts":[["2025",9,5]]}}}],"schema":"https://github.com/citation-style-language/schema/raw/master/csl-citation.json"} </w:instrText>
      </w:r>
      <w:r w:rsidR="00E34521">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(Barradas Arenas et al., 2025</w:t>
      </w:r>
      <w:r w:rsidR="00E34521">
        <w:rPr>
          <w:rFonts w:ascii="Times New Roman" w:eastAsia="Times New Roman" w:hAnsi="Times New Roman" w:cs="Times New Roman"/>
          <w:kern w:val="0"/>
          <w:sz w:val="24"/>
          <w:szCs w:val="24"/>
          <w14:ligatures w14:val="none"/>
        </w:rPr>
        <w:fldChar w:fldCharType="end"/>
      </w:r>
      <w:r w:rsidR="00C77B33">
        <w:rPr>
          <w:rFonts w:ascii="Times New Roman" w:eastAsia="Times New Roman" w:hAnsi="Times New Roman" w:cs="Times New Roman"/>
          <w:kern w:val="0"/>
          <w:sz w:val="24"/>
          <w:szCs w:val="24"/>
          <w14:ligatures w14:val="none"/>
        </w:rPr>
        <w:t xml:space="preserve">; </w:t>
      </w:r>
      <w:r w:rsidR="00C77B33">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{"citationID":"0RJfgDJD","properties":{"unsorted":false,"formattedCitation":"(Du et al., 2025a)","plainCitation":"(Du et al., 2025a)","noteIndex":0},"citationItems":[{"id":15932,"uris":["http://zotero.org/users/local/vwAKDnao/items/EP2B4KLA"],"itemData":{"id":15932,"type":"article-journal","abstract":"Self-regulated learning (SRL) has been widely recognized as a critical skill for academic success in online and blended learning contexts. However, many students experience difficulty in effectively applying SRL strategies in the absence of structured instructional guidance. To address this challenge, this study developed and implemented a learning management system integrated with SRL support (SRL-LMS), specifically designed for the online component of a blended learning course. The SRL-LMS consisted of two sections: a conventional course content section and a SRL training section designed to support students in applying SRL strategies. A quasi-experimental design was adopted with 69 college students assigned to either an experimental group, with access to both course and SRL sections, or a control group, which accessed only the course section. Results indicated that students in the experimental group reported higher levels of self-regulation and showed more frequent and diverse application of SRL strategies compared to the control group. In terms of academic performance, the experimental group performed significantly better than the control group on the first exam, though no significant difference was observed on the second exam. These results highlight the effectiveness of structured SRL interventions within digital learning platforms for improving students’ self-regulatory behaviors. Future implementations should address cognitive load and incorporate strategic approaches to sustain student motivation. This study advances current SRL intervention designs and offers valuable insights for educators and instructional designers aiming to integrate targeted SRL supports in online and blended learning environments.","container-title":"Behavioral Sciences","DOI":"10.3390/bs15081041","ISSN":"2076-328X","issue":"8","journalAbbreviation":"Behavioral Sciences","language":"en","page":"1041","source":"DOI.org (Crossref)","title":"Empowering Students in Online Learning Environments Through a Self-Regulated Learning–Enhanced Learning Management System","URL":"https://www.mdpi.com/2076-328X/15/8/1041","volume":"15","author":[{"family":"Du","given":"Jiahui"},{"family":"Liu","given":"Lejia"},{"family":"Zhao","given":"Shikui"}],"accessed":{"date-parts":[["2026",9,26]]},"issued":{"date-parts":[["2025",7,31]]}}}],"schema":"https://github.com/citation-style-language/schema/raw/master/csl-citation.json"} </w:instrText>
      </w:r>
      <w:r w:rsidR="00C77B33">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Du et al., 2025a)</w:t>
      </w:r>
      <w:r w:rsidR="00C77B33">
        <w:rPr>
          <w:rFonts w:ascii="Times New Roman" w:eastAsia="Times New Roman" w:hAnsi="Times New Roman" w:cs="Times New Roman"/>
          <w:kern w:val="0"/>
          <w:sz w:val="24"/>
          <w:szCs w:val="24"/>
          <w14:ligatures w14:val="none"/>
        </w:rPr>
        <w:fldChar w:fldCharType="end"/>
      </w:r>
      <w:r w:rsidRPr="004E6BA5">
        <w:rPr>
          <w:rFonts w:ascii="Times New Roman" w:eastAsia="Times New Roman" w:hAnsi="Times New Roman" w:cs="Times New Roman"/>
          <w:kern w:val="0"/>
          <w:sz w:val="24"/>
          <w:szCs w:val="24"/>
          <w14:ligatures w14:val="none"/>
        </w:rPr>
        <w:t>.</w:t>
      </w:r>
    </w:p>
    <w:p w14:paraId="68B8B23D" w14:textId="3F3CC0BF" w:rsidR="00D3328B" w:rsidRDefault="004E6BA5" w:rsidP="00D3328B">
      <w:pPr>
        <w:spacing w:after="0" w:line="240" w:lineRule="auto"/>
        <w:ind w:firstLine="720"/>
        <w:jc w:val="both"/>
        <w:rPr>
          <w:rFonts w:ascii="Times New Roman" w:eastAsia="Times New Roman" w:hAnsi="Times New Roman" w:cs="Times New Roman"/>
          <w:kern w:val="0"/>
          <w:sz w:val="24"/>
          <w:szCs w:val="24"/>
          <w14:ligatures w14:val="none"/>
        </w:rPr>
        <w:sectPr w:rsidR="00D3328B" w:rsidSect="00FD64AE">
          <w:headerReference w:type="default" r:id="rId13"/>
          <w:footerReference w:type="default" r:id="rId14"/>
          <w:type w:val="continuous"/>
          <w:pgSz w:w="12240" w:h="15840"/>
          <w:pgMar w:top="1440" w:right="1440" w:bottom="1440" w:left="1440" w:header="720" w:footer="720" w:gutter="0"/>
          <w:cols w:space="720"/>
          <w:docGrid w:linePitch="360"/>
        </w:sectPr>
      </w:pPr>
      <w:r w:rsidRPr="004E6BA5">
        <w:rPr>
          <w:rFonts w:ascii="Times New Roman" w:eastAsia="Times New Roman" w:hAnsi="Times New Roman" w:cs="Times New Roman"/>
          <w:kern w:val="0"/>
          <w:sz w:val="24"/>
          <w:szCs w:val="24"/>
          <w14:ligatures w14:val="none"/>
        </w:rPr>
        <w:t>A major underlying driver of persistent disengagement and high attrition rates in distance education is the systemic lack of explicit support for Self-Regulated Learning (SRL)</w:t>
      </w:r>
      <w:r w:rsidR="002462E6">
        <w:rPr>
          <w:rFonts w:ascii="Times New Roman" w:eastAsia="Times New Roman" w:hAnsi="Times New Roman" w:cs="Times New Roman"/>
          <w:kern w:val="0"/>
          <w:sz w:val="24"/>
          <w:szCs w:val="24"/>
          <w14:ligatures w14:val="none"/>
        </w:rPr>
        <w:t xml:space="preserve"> </w:t>
      </w:r>
      <w:r w:rsidR="002462E6">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{"citationID":"uxErrzUN","properties":{"formattedCitation":"(Broadbent &amp; Barba, 2023)","plainCitation":"(Broadbent &amp; Barba, 2023)","noteIndex":0},"citationItems":[{"id":"NaBsQCiw/mioEdb3g","uris":["http://zotero.org/users/local/DMv4uL3N/items/F3XVQYJN"],"itemData":{"id":17336,"type":"chapter","container-title":"Research Handbook on the Student Experience in Higher Education","DOI":"10.4337/9781802204193.00021","ISBN":"978-1-80220-419-3","page":"179-190","publisher":"Edward Elgar Publishing","source":"DOI.org (Crossref)","title":"Self-regulated learning and the student experience in online higher education","URL":"https://www.elgaronline.com/view/book/9781802204193/book-part-9781802204193-21.xml","editor":[{"family":"Baik","given":"Chi"},{"family":"Kahu","given":"Ella R."}],"author":[{"family":"Broadbent","given":"Jaclyn"},{"family":"Barba","given":"Paula De"}],"accessed":{"date-parts":[["2026",9,22]]},"issued":{"date-parts":[["2023",11,28]]}}}],"schema":"https://github.com/citation-style-language/schema/raw/master/csl-citation.json"} </w:instrText>
      </w:r>
      <w:r w:rsidR="002462E6">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(Broadbent &amp; Barba, 2023</w:t>
      </w:r>
      <w:r w:rsidR="002462E6">
        <w:rPr>
          <w:rFonts w:ascii="Times New Roman" w:eastAsia="Times New Roman" w:hAnsi="Times New Roman" w:cs="Times New Roman"/>
          <w:kern w:val="0"/>
          <w:sz w:val="24"/>
          <w:szCs w:val="24"/>
          <w14:ligatures w14:val="none"/>
        </w:rPr>
        <w:fldChar w:fldCharType="end"/>
      </w:r>
      <w:r w:rsidR="0066640A">
        <w:rPr>
          <w:rFonts w:ascii="Times New Roman" w:eastAsia="Times New Roman" w:hAnsi="Times New Roman" w:cs="Times New Roman"/>
          <w:kern w:val="0"/>
          <w:sz w:val="24"/>
          <w:szCs w:val="24"/>
          <w14:ligatures w14:val="none"/>
        </w:rPr>
        <w:t xml:space="preserve">; </w:t>
      </w:r>
      <w:r w:rsidR="0066640A">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{"citationID":"I27we1u7","properties":{"unsorted":false,"formattedCitation":"(Du Plooy et al., 2024)","plainCitation":"(Du Plooy et al., 2024)","noteIndex":0},"citationItems":[{"id":15950,"uris":["http://zotero.org/users/local/vwAKDnao/items/KV4SVBHB"],"itemData":{"id":15950,"type":"article-journal","container-title":"Heliyon","DOI":"10.1016/j.heliyon.2024.e39630","ISSN":"24058440","issue":"21","journalAbbreviation":"Heliyon","language":"en","page":"e39630","source":"DOI.org (Crossref)","title":"Personalized adaptive learning in higher education: A scoping review of key characteristics and impact on academic performance and engagement","title-short":"Personalized adaptive learning in higher education","URL":"https://linkinghub.elsevier.com/retrieve/pii/S2405844024156617","volume":"10","author":[{"family":"Du Plooy","given":"Eileen"},{"family":"Casteleijn","given":"Daleen"},{"family":"Franzsen","given":"Denise"}],"accessed":{"date-parts":[["2026",9,26]]},"issued":{"date-parts":[["2024",11]]}}}],"schema":"https://github.com/citation-style-language/schema/raw/master/csl-citation.json"} </w:instrText>
      </w:r>
      <w:r w:rsidR="0066640A">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Du Plooy et al., 2024)</w:t>
      </w:r>
      <w:r w:rsidR="0066640A">
        <w:rPr>
          <w:rFonts w:ascii="Times New Roman" w:eastAsia="Times New Roman" w:hAnsi="Times New Roman" w:cs="Times New Roman"/>
          <w:kern w:val="0"/>
          <w:sz w:val="24"/>
          <w:szCs w:val="24"/>
          <w14:ligatures w14:val="none"/>
        </w:rPr>
        <w:fldChar w:fldCharType="end"/>
      </w:r>
      <w:r w:rsidRPr="004E6BA5">
        <w:rPr>
          <w:rFonts w:ascii="Times New Roman" w:eastAsia="Times New Roman" w:hAnsi="Times New Roman" w:cs="Times New Roman"/>
          <w:kern w:val="0"/>
          <w:sz w:val="24"/>
          <w:szCs w:val="24"/>
          <w14:ligatures w14:val="none"/>
        </w:rPr>
        <w:t>. SRL encompasses the interconnected metacognitive, motivational, and behavioral processes that enable individuals to systematically plan, monitor, adapt, and evaluate their own learning trajectories</w:t>
      </w:r>
      <w:r w:rsidR="0066640A">
        <w:rPr>
          <w:rFonts w:ascii="Times New Roman" w:eastAsia="Times New Roman" w:hAnsi="Times New Roman" w:cs="Times New Roman"/>
          <w:kern w:val="0"/>
          <w:sz w:val="24"/>
          <w:szCs w:val="24"/>
          <w14:ligatures w14:val="none"/>
        </w:rPr>
        <w:t xml:space="preserve"> </w:t>
      </w:r>
      <w:r w:rsidR="0066640A">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{"citationID":"KzZrUBL9","properties":{"unsorted":false,"formattedCitation":"(Ko, 2026)","plainCitation":"(Ko, 2026)","noteIndex":0},"citationItems":[{"id":15952,"uris":["http://zotero.org/users/local/vwAKDnao/items/U7SBZIGV"],"itemData":{"id":15952,"type":"article-journal","abstract":"The author investigates how digital learning competence (DLC) is bridged to academic achievement (AA) through informal digital learning engagement (IDLE) and how meta-cognitive self-regulation (MSR) shapes these pathways among university students. Grounded in a moderated mediation framework, this research conceptualizes DLC not as a static skill set but as a latent capacity that is channeled into academic outcomes when students autonomously engage in digital environments and regulate their cognition. Survey data were collected from 432 undergraduate students and analyzed using Partial Least Squares Structural Equation Modeling (PLS-SEM). The results show that DLC significantly predicts AA both directly and indirectly via IDLE, identifying informal digital learning engagement as a central pathway through which digital learning competence is translated into academic gains. Furthermore, MSR moderates the relationship between DLC and IDLE, such that higher levels of metacognitive self-regulation strengthen the conversion of digital learning competence into productive informal digital learning engagement. These findings support a dynamic view of digital learning competence and underscore the roles of learner autonomy and metacognitive awareness in transforming digital skills into meaningful educational outcomes. By integrating perspectives on digital literacy, self-regulated learning, and informal learning, this study offers implications for the design of digital learning ecosystems that effectively bridge students’ digital capacities with their academic achievement.","container-title":"Journal of Intelligence","DOI":"10.3390/jintelligence14020031","ISSN":"2079-3200","issue":"2","journalAbbreviation":"J. Intell.","language":"en","page":"31","source":"DOI.org (Crossref)","title":"Bridging Digital Learning Competence and Academic Achievement: The Roles of Informal Digital Learning and Metacognitive Self-Regulation","title-short":"Bridging Digital Learning Competence and Academic Achievement","URL":"https://www.mdpi.com/2079-3200/14/2/31","volume":"14","author":[{"family":"Ko","given":"Heeyoon"}],"accessed":{"date-parts":[["2026",9,26]]},"issued":{"date-parts":[["2026",2,13]]}}}],"schema":"https://github.com/citation-style-language/schema/raw/master/csl-citation.json"} </w:instrText>
      </w:r>
      <w:r w:rsidR="0066640A">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(Ko, 2026)</w:t>
      </w:r>
      <w:r w:rsidR="0066640A">
        <w:rPr>
          <w:rFonts w:ascii="Times New Roman" w:eastAsia="Times New Roman" w:hAnsi="Times New Roman" w:cs="Times New Roman"/>
          <w:kern w:val="0"/>
          <w:sz w:val="24"/>
          <w:szCs w:val="24"/>
          <w14:ligatures w14:val="none"/>
        </w:rPr>
        <w:fldChar w:fldCharType="end"/>
      </w:r>
      <w:r w:rsidRPr="004E6BA5">
        <w:rPr>
          <w:rFonts w:ascii="Times New Roman" w:eastAsia="Times New Roman" w:hAnsi="Times New Roman" w:cs="Times New Roman"/>
          <w:kern w:val="0"/>
          <w:sz w:val="24"/>
          <w:szCs w:val="24"/>
          <w14:ligatures w14:val="none"/>
        </w:rPr>
        <w:t>. In self-paced online environments, students are required to independently establish learning goals, monitor their comprehension, overcome cognitive friction, and manage environmental distractors</w:t>
      </w:r>
      <w:r w:rsidR="002462E6">
        <w:rPr>
          <w:rFonts w:ascii="Times New Roman" w:eastAsia="Times New Roman" w:hAnsi="Times New Roman" w:cs="Times New Roman"/>
          <w:kern w:val="0"/>
          <w:sz w:val="24"/>
          <w:szCs w:val="24"/>
          <w14:ligatures w14:val="none"/>
        </w:rPr>
        <w:t xml:space="preserve"> </w:t>
      </w:r>
      <w:r w:rsidR="00CF5066">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{"citationID":"OuwSru0d","properties":{"formattedCitation":"(Du et al., 2025b)","plainCitation":"(Du et al., 2025b)","noteIndex":0},"citationItems":[{"id":"NaBsQCiw/2fnFasg8","uris":["http://zotero.org/users/local/DMv4uL3N/items/IKXHB66W"],"itemData":{"id":17337,"type":"article-journal","abstract":"Self-regulated learning (SRL) has been widely recognized as a critical skill for academic success in online and blended learning contexts. However, many students experience difficulty in effectively applying SRL strategies in the absence of structured instructional guidance. To address this challenge, this study developed and implemented a learning management system integrated with SRL support (SRL-LMS), specifically designed for the online component of a blended learning course. The SRL-LMS consisted of two sections: a conventional course content section and a SRL training section designed to support students in applying SRL strategies. A quasi-experimental design was adopted with 69 college students assigned to either an experimental group, with access to both course and SRL sections, or a control group, which accessed only the course section. Results indicated that students in the experimental group reported higher levels of self-regulation and showed more frequent and diverse application of SRL strategies compared to the control group. In terms of academic performance, the experimental group performed significantly better than the control group on the first exam, though no significant difference was observed on the second exam. These results highlight the effectiveness of structured SRL interventions within digital learning platforms for improving students’ self-regulatory behaviors. Future implementations should address cognitive load and incorporate strategic approaches to sustain student motivation. This study advances current SRL intervention designs and offers valuable insights for educators and instructional designers aiming to integrate targeted SRL supports in online and blended learning environments.","container-title":"Behavioral Sciences","DOI":"10.3390/bs15081041","ISSN":"2076-328X","issue":"8","journalAbbreviation":"Behavioral Sciences","language":"en","page":"1041","source":"DOI.org (Crossref)","title":"Empowering Students in Online Learning Environments Through a Self-Regulated Learning–Enhanced Learning Management System","volume":"15","author":[{"family":"Du","given":"Jiahui"},{"family":"Liu","given":"Lejia"},{"family":"Zhao","given":"Shikui"}],"issued":{"date-parts":[["2025",7,31]]}}}],"schema":"https://github.com/citation-style-language/schema/raw/master/csl-citation.json"} </w:instrText>
      </w:r>
      <w:r w:rsidR="00CF5066">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(Du et al., 2025</w:t>
      </w:r>
      <w:r w:rsidR="00CF5066">
        <w:rPr>
          <w:rFonts w:ascii="Times New Roman" w:eastAsia="Times New Roman" w:hAnsi="Times New Roman" w:cs="Times New Roman"/>
          <w:kern w:val="0"/>
          <w:sz w:val="24"/>
          <w:szCs w:val="24"/>
          <w14:ligatures w14:val="none"/>
        </w:rPr>
        <w:fldChar w:fldCharType="end"/>
      </w:r>
      <w:r w:rsidR="00136546">
        <w:rPr>
          <w:rFonts w:ascii="Times New Roman" w:eastAsia="Times New Roman" w:hAnsi="Times New Roman" w:cs="Times New Roman"/>
          <w:kern w:val="0"/>
          <w:sz w:val="24"/>
          <w:szCs w:val="24"/>
          <w14:ligatures w14:val="none"/>
        </w:rPr>
        <w:t xml:space="preserve">; </w:t>
      </w:r>
      <w:r w:rsidR="00136546">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{"citationID":"C4kykRKt","properties":{"formattedCitation":"(Rifqoh et al., 2026)","plainCitation":"(Rifqoh et al., 2026)","noteIndex":0},"citationItems":[{"id":"NaBsQCiw/8hQ64kEv","uris":["http://zotero.org/users/local/DMv4uL3N/items/ZADM5SDM"],"itemData":{"id":17338,"type":"article-journal","abstract":"Self-Regulated Learning (SRL) refers to students’ ability to manage and control their own learning processes, and it has been widely recognized as a key predictor of academic achievement and student engagement. Despite the growing volume of SRL research, a Scopus-based analysis indicates that studies specifically examining the relationship between SRL, achievement, and engagement remain limited. This gap restricts the development of more comprehensive educational strategies that maximize student learning outcomes.This study aims to analyze trends in SRL research within the 2020–2024 period, particularly focusing on how SRL relates to academic achievement and student engagement, and to identify underexplored themes that require further investigation.Results: The analysis reveals that although SRL has been extensively studied, research explicitly linking SRL to academic achievement and student engagement remains scarce. Network visualization shows that Cluster 5 contains the least-developed themes, including achievement goals, learning strategies, metacognition, and motivation indicating that these topics require deeper exploration. Overlay visualization further demonstrates that the peak of SRL-related research occurred in mid-2021 and throughout 2022, followed by a noticeable decline in 2023 and 2024. Density visualization confirms that while SRL is a widely researched construct, studies investigating its direct impact on achievement and engagement are still relatively limited.","container-title":"Data and Metadata","DOI":"10.56294/dm20261335","ISSN":"2953-4917","journalAbbreviation":"Data and Metadata","license":"https://creativecommons.org/licenses/by/4.0","page":"1335","source":"DOI.org (Crossref)","title":"Analyzing the Impact of Self-Regulated Learning on Academic Performance and Student Engagement","volume":"5","author":[{"family":"Rifqoh","given":"Fany"},{"family":"Nur Wangid","given":"Muhammad"},{"family":"Suwarjo","given":"Suwarjo"},{"family":"Azriya","given":"Yulia"}],"issued":{"date-parts":[["2026",1,1]]}}}],"schema":"https://github.com/citation-style-language/schema/raw/master/csl-citation.json"} </w:instrText>
      </w:r>
      <w:r w:rsidR="00136546">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Rifqoh et al., 2026)</w:t>
      </w:r>
      <w:r w:rsidR="00136546">
        <w:rPr>
          <w:rFonts w:ascii="Times New Roman" w:eastAsia="Times New Roman" w:hAnsi="Times New Roman" w:cs="Times New Roman"/>
          <w:kern w:val="0"/>
          <w:sz w:val="24"/>
          <w:szCs w:val="24"/>
          <w14:ligatures w14:val="none"/>
        </w:rPr>
        <w:fldChar w:fldCharType="end"/>
      </w:r>
      <w:r w:rsidRPr="004E6BA5">
        <w:rPr>
          <w:rFonts w:ascii="Times New Roman" w:eastAsia="Times New Roman" w:hAnsi="Times New Roman" w:cs="Times New Roman"/>
          <w:kern w:val="0"/>
          <w:sz w:val="24"/>
          <w:szCs w:val="24"/>
          <w14:ligatures w14:val="none"/>
        </w:rPr>
        <w:t>. While highly autonomous and academically experienced learners naturally deploy effective SRL strategies, a substantial proportion of distance learners struggle with self-directed learning. When left without structured instructional guidance, these students frequently experience cognitive overload, chronic procrastination, diminished self-efficacy, and eventual academic disengagement, culminating in course abandonment</w:t>
      </w:r>
      <w:r w:rsidR="00C77B33">
        <w:rPr>
          <w:rFonts w:ascii="Times New Roman" w:eastAsia="Times New Roman" w:hAnsi="Times New Roman" w:cs="Times New Roman"/>
          <w:kern w:val="0"/>
          <w:sz w:val="24"/>
          <w:szCs w:val="24"/>
          <w14:ligatures w14:val="none"/>
        </w:rPr>
        <w:t xml:space="preserve"> </w:t>
      </w:r>
      <w:r w:rsidR="00C77B33">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{"citationID":"XGNGrhdt","properties":{"unsorted":false,"formattedCitation":"(Ahmadfard, 2026)","plainCitation":"(Ahmadfard, 2026)","noteIndex":0},"citationItems":[{"id":15944,"uris":["http://zotero.org/users/local/vwAKDnao/items/GSUIPT36"],"itemData":{"id":15944,"type":"article-journal","abstract":"Abstract\n            This paper provides a critical review of Interactive Open Educational Resources (iOER) as a next-generation direction within the open education movement. While traditional OER have expanded access and reduced costs, their static formats often limit engagement and adaptability. iOER address these gaps by incorporating interactive technologies, multimedia, and adaptive learning systems to support dynamic, personalized, and student-centered learning. Drawing on constructivist, active learning, and sociocultural perspectives, and informed by Universal Design for Learning and Cognitive Load Theory, this review synthesizes core design principles for iOER, including user-centered design, scalability, and alignment with learning outcomes. It categorizes common interactive elements (e.g., simulations and embedded assessments) and synthesizes evidence on their effects on motivation, engagement, and equity. The paper also identifies implementation challenges—such as digital access, institutional readiness, and faculty development—and provides strategic recommendations for addressing them. Finally, it explores how artificial intelligence can further personalize iOER and enhance learning analytics, while underscoring the ethical and practical considerations involved. Overall, the paper proposes a conceptual and practical framework to guide educators, researchers, and policymakers in advancing equitable, innovative, and impactful open education through iOER.","container-title":"Discover Education","DOI":"10.1007/s44217-026-01236-z","ISSN":"2731-5525","issue":"1","journalAbbreviation":"Discov Educ","language":"en","page":"211","source":"DOI.org (Crossref)","title":"Advancing open learning through interactive open educational resources","URL":"https://link.springer.com/10.1007/s44217-026-01236-z","volume":"5","author":[{"family":"Ahmadfard","given":"Mohammadamin"}],"accessed":{"date-parts":[["2026",9,26]]},"issued":{"date-parts":[["2026",2,14]]}}}],"schema":"https://github.com/citation-style-language/schema/raw/master/csl-citation.json"} </w:instrText>
      </w:r>
      <w:r w:rsidR="00C77B33">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(Ahmadfard, 2026)</w:t>
      </w:r>
      <w:r w:rsidR="00C77B33">
        <w:rPr>
          <w:rFonts w:ascii="Times New Roman" w:eastAsia="Times New Roman" w:hAnsi="Times New Roman" w:cs="Times New Roman"/>
          <w:kern w:val="0"/>
          <w:sz w:val="24"/>
          <w:szCs w:val="24"/>
          <w14:ligatures w14:val="none"/>
        </w:rPr>
        <w:fldChar w:fldCharType="end"/>
      </w:r>
      <w:r w:rsidR="0066640A">
        <w:rPr>
          <w:rFonts w:ascii="Times New Roman" w:eastAsia="Times New Roman" w:hAnsi="Times New Roman" w:cs="Times New Roman"/>
          <w:kern w:val="0"/>
          <w:sz w:val="24"/>
          <w:szCs w:val="24"/>
          <w14:ligatures w14:val="none"/>
        </w:rPr>
        <w:t xml:space="preserve">; </w:t>
      </w:r>
      <w:r w:rsidR="0066640A">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{"citationID":"AHR5bKXg","properties":{"unsorted":false,"formattedCitation":"(Edisherashvili et al., 2022)","plainCitation":"(Edisherashvili et al., 2022)","noteIndex":0},"citationItems":[{"id":15948,"uris":["http://zotero.org/users/local/vwAKDnao/items/DXSALJXX"],"itemData":{"id":15948,"type":"article-journal","abstract":"Shifting learning to distant formats especially at the higher education level has been unprecedented during the past decade. Diverse digital learning media have been emerging which allow learner autonomy, and at the same time, require the ability of efficient regulation of various aspects of the learning process for sustainable academic progress. In this context, supporting students in self-regulated learning (SRL) in an optimal way becomes an important factor for their academic success. The present study attempts through a systematic review of 38 studies to provide an overview of the interventions identified as supporting all areas of SRL (metacognitive, cognitive, motivational and emotional), in its three phases (preparatory, performance, appraisal) in distance education environments at the higher education level. As the study results show, there are a number of SRL support interventions available with proven positive effect on SRL. However, their distribution has been found to be uneven. Whereas metacognition regulation and the performance phase of learning is vastly investigated, the emotion regulation, and the preparatory and appraisal phases of the SRL cycle are somewhat underexplored. As complex and multi-component as the process of SRL is, the combination of various interventions, and specific features, for more comprehensive support has also been found beneficial. Additionally, it has been revealed that the emotion regulation, in most cases, is closely related to motivation regulation, and similar interventions support these two. Future studies can further explore the efficiency and relevance of the identified interventions, taking closer look at the effects of various digital media, learner characteristics as well as different levels of education on learners’ self-regulation needs.","container-title":"Frontiers in Psychology","DOI":"10.3389/fpsyg.2021.792422","ISSN":"1664-1078","journalAbbreviation":"Front. Psychol.","page":"792422","source":"DOI.org (Crossref)","title":"Supporting Self-Regulated Learning in Distance Learning Contexts at Higher Education Level: Systematic Literature Review","title-short":"Supporting Self-Regulated Learning in Distance Learning Contexts at Higher Education Level","URL":"https://www.frontiersin.org/articles/10.3389/fpsyg.2021.792422/full","volume":"12","author":[{"family":"Edisherashvili","given":"Natalia"},{"family":"Saks","given":"Katrin"},{"family":"Pedaste","given":"Margus"},{"family":"Leijen","given":"Äli"}],"accessed":{"date-parts":[["2026",9,26]]},"issued":{"date-parts":[["2022",1,18]]}}}],"schema":"https://github.com/citation-style-language/schema/raw/master/csl-citation.json"} </w:instrText>
      </w:r>
      <w:r w:rsidR="0066640A">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(Edisherashvili et al., 2022)</w:t>
      </w:r>
      <w:r w:rsidR="0066640A">
        <w:rPr>
          <w:rFonts w:ascii="Times New Roman" w:eastAsia="Times New Roman" w:hAnsi="Times New Roman" w:cs="Times New Roman"/>
          <w:kern w:val="0"/>
          <w:sz w:val="24"/>
          <w:szCs w:val="24"/>
          <w14:ligatures w14:val="none"/>
        </w:rPr>
        <w:fldChar w:fldCharType="end"/>
      </w:r>
      <w:r w:rsidR="00D3328B">
        <w:rPr>
          <w:rFonts w:ascii="Times New Roman" w:eastAsia="Times New Roman" w:hAnsi="Times New Roman" w:cs="Times New Roman"/>
          <w:kern w:val="0"/>
          <w:sz w:val="24"/>
          <w:szCs w:val="24"/>
          <w14:ligatures w14:val="none"/>
        </w:rPr>
        <w:t>.</w:t>
      </w:r>
    </w:p>
    <w:p w14:paraId="56B7B7BE" w14:textId="5FF4A0C6" w:rsidR="004E6BA5" w:rsidRPr="004E6BA5" w:rsidRDefault="004E6BA5" w:rsidP="00D3328B">
      <w:pPr>
        <w:spacing w:after="0" w:line="240" w:lineRule="auto"/>
        <w:ind w:firstLine="720"/>
        <w:jc w:val="both"/>
        <w:rPr>
          <w:rFonts w:ascii="Times New Roman" w:eastAsia="Times New Roman" w:hAnsi="Times New Roman" w:cs="Times New Roman"/>
          <w:kern w:val="0"/>
          <w:sz w:val="24"/>
          <w:szCs w:val="24"/>
          <w14:ligatures w14:val="none"/>
        </w:rPr>
      </w:pPr>
      <w:r w:rsidRPr="004E6BA5">
        <w:rPr>
          <w:rFonts w:ascii="Times New Roman" w:eastAsia="Times New Roman" w:hAnsi="Times New Roman" w:cs="Times New Roman"/>
          <w:kern w:val="0"/>
          <w:sz w:val="24"/>
          <w:szCs w:val="24"/>
          <w14:ligatures w14:val="none"/>
        </w:rPr>
        <w:t>While contemporary research in online learning design extensively explores advanced technical delivery platforms, high-definition multimedia creation, and automated learning management system (LMS) administration, these technological enhancements primarily optimize content delivery rather than learning process execution</w:t>
      </w:r>
      <w:r w:rsidR="00C77B33">
        <w:rPr>
          <w:rFonts w:ascii="Times New Roman" w:eastAsia="Times New Roman" w:hAnsi="Times New Roman" w:cs="Times New Roman"/>
          <w:kern w:val="0"/>
          <w:sz w:val="24"/>
          <w:szCs w:val="24"/>
          <w14:ligatures w14:val="none"/>
        </w:rPr>
        <w:t xml:space="preserve"> </w:t>
      </w:r>
      <w:r w:rsidR="00C77B33">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{"citationID":"LePERRRb","properties":{"unsorted":false,"formattedCitation":"(Wang et al., 2025)","plainCitation":"(Wang et al., 2025)","noteIndex":0},"citationItems":[{"id":15940,"uris":["http://zotero.org/users/local/vwAKDnao/items/HXLCL5VZ"],"itemData":{"id":15940,"type":"article-journal","abstract":"Time management is a critical competency for first-year college students, yet many struggle with limited self-regulation, and existing interventions are often short-term and weakly grounded in theory. This study explored how a design-based research (DBR) approach integrating experiential learning and digital tools could strengthen students’ time management skills. From 2021 to 2023, 238 first-year students at a research university in central China participated in a three-month hybrid Freshman Orientation Seminar, with data collected from daily submissions via a WeChat mini-program. Over three iterative DBR cycles, the intervention combined experiential learning theory with authentic time management practice, guided by quantitative and qualitative evidence to refine the pedagogical model. The process yielded six design principles and a supporting digital tool. In the final iteration, students demonstrated substantial gains, including improved planning, greater task completion, more accurate time allocation, and higher satisfaction with time use. These findings suggest that sustained, theory-guided experiential learning, when supported by digital tools, can significantly enhance time management competencies. The study contributes practical strategies for embedding self-regulated learning into higher education through technology-enhanced experiential approaches.","container-title":"Behavioral Sciences","DOI":"10.3390/bs16010027","ISSN":"2076-328X","issue":"1","journalAbbreviation":"Behavioral Sciences","language":"en","page":"27","source":"DOI.org (Crossref)","title":"Developing Time Management Competencies for First-Year College Students Through Experiential Learning: Design-Based Research","title-short":"Developing Time Management Competencies for First-Year College Students Through Experiential Learning","URL":"https://www.mdpi.com/2076-328X/16/1/27","volume":"16","author":[{"family":"Wang","given":"Kunyu"},{"family":"Zuo","given":"Mingzhang"},{"family":"Zhou","given":"Xiaotang"},{"family":"Wang","given":"Yunhan"},{"family":"Tang","given":"Pengxuan"},{"family":"Luo","given":"Heng"}],"accessed":{"date-parts":[["2026",9,26]]},"issued":{"date-parts":[["2025",12,22]]}}}],"schema":"https://github.com/citation-style-language/schema/raw/master/csl-citation.json"} </w:instrText>
      </w:r>
      <w:r w:rsidR="00C77B33">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(Wang et al., 2025</w:t>
      </w:r>
      <w:r w:rsidR="00C77B33">
        <w:rPr>
          <w:rFonts w:ascii="Times New Roman" w:eastAsia="Times New Roman" w:hAnsi="Times New Roman" w:cs="Times New Roman"/>
          <w:kern w:val="0"/>
          <w:sz w:val="24"/>
          <w:szCs w:val="24"/>
          <w14:ligatures w14:val="none"/>
        </w:rPr>
        <w:fldChar w:fldCharType="end"/>
      </w:r>
      <w:r w:rsidR="00C77B33">
        <w:rPr>
          <w:rFonts w:ascii="Times New Roman" w:eastAsia="Times New Roman" w:hAnsi="Times New Roman" w:cs="Times New Roman"/>
          <w:kern w:val="0"/>
          <w:sz w:val="24"/>
          <w:szCs w:val="24"/>
          <w14:ligatures w14:val="none"/>
        </w:rPr>
        <w:t xml:space="preserve">; </w:t>
      </w:r>
      <w:r w:rsidR="00C77B33">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{"citationID":"Xq1g50pc","properties":{"unsorted":false,"formattedCitation":"(Nwoko et al., 2024)","plainCitation":"(Nwoko et al., 2024)","noteIndex":0},"citationItems":[{"id":15942,"uris":["http://zotero.org/users/local/vwAKDnao/items/9K6SUQDW"],"itemData":{"id":15942,"type":"article-journal","abstract":"The well-being of primary school teachers is vital for fostering effective teaching and learning, yet they face a range of challenges that negatively impact their occupational health. This phenomenological study explores the multifaceted factors influencing teacher occupational well-being, with a focus on classroom processes and school-related factors. Employing a qualitative phenomenological approach, this study gathered in-depth insights from Australian primary school teachers through semi-structured interviews. Participants were recruited from a variety of educational settings to capture diverse experiences and perspectives. Data were thematically analysed to identify key themes impacting teacher well-being. The findings revealed significant challenges impacting teacher well-being, including the demands of individualised student needs, classroom dynamics, the role of school leadership, resource limitations, and the complexities of parental involvement. Teachers expressed a need for more relevant professional development programs and highlighted the importance of supportive leadership and adequate resources. Additionally, workload and the balance between professional and personal life emerged as critical factors influencing teacher well-being. This study underscores the importance of addressing the complex and interconnected factors that contribute to teacher well-being. Implications for educational practice include the need for supportive and communicative leadership, adequate professional development tailored to teachers’ needs, and the provision of sufficient resources to manage classroom diversity and demands. The findings advocate for systemic changes to foster a supportive educational environment that values and nurtures teacher well-being. Future research could explore effective strategies to support primary school teachers in their professional journeys.","container-title":"Education Sciences","DOI":"10.3390/educsci14111225","ISSN":"2227-7102","issue":"11","journalAbbreviation":"Education Sciences","language":"en","page":"1225","source":"DOI.org (Crossref)","title":"Navigating Teachers’ Occupational Well-Being in the Tides of Classroom Processes and School Structures","URL":"https://www.mdpi.com/2227-7102/14/11/1225","volume":"14","author":[{"family":"Nwoko","given":"Joy C."},{"family":"Anderson","given":"Emma"},{"family":"Adegboye","given":"Oyelola"},{"family":"Malau-Aduli","given":"Aduli E. O."},{"family":"Malau-Aduli","given":"Bunmi S."}],"accessed":{"date-parts":[["2026",9,26]]},"issued":{"date-parts":[["2024",11,7]]}}}],"schema":"https://github.com/citation-style-language/schema/raw/master/csl-citation.json"} </w:instrText>
      </w:r>
      <w:r w:rsidR="00C77B33">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Nwoko et al., 2024)</w:t>
      </w:r>
      <w:r w:rsidR="00C77B33">
        <w:rPr>
          <w:rFonts w:ascii="Times New Roman" w:eastAsia="Times New Roman" w:hAnsi="Times New Roman" w:cs="Times New Roman"/>
          <w:kern w:val="0"/>
          <w:sz w:val="24"/>
          <w:szCs w:val="24"/>
          <w14:ligatures w14:val="none"/>
        </w:rPr>
        <w:fldChar w:fldCharType="end"/>
      </w:r>
      <w:r w:rsidRPr="004E6BA5">
        <w:rPr>
          <w:rFonts w:ascii="Times New Roman" w:eastAsia="Times New Roman" w:hAnsi="Times New Roman" w:cs="Times New Roman"/>
          <w:kern w:val="0"/>
          <w:sz w:val="24"/>
          <w:szCs w:val="24"/>
          <w14:ligatures w14:val="none"/>
        </w:rPr>
        <w:t>. Current instructional models routinely treat subject matter mastery and study strategies as separate, isolated domains, operating on the unexamined assumption that enrolled students inherently possess mature online study skills</w:t>
      </w:r>
      <w:r w:rsidR="00FE1173">
        <w:rPr>
          <w:rFonts w:ascii="Times New Roman" w:eastAsia="Times New Roman" w:hAnsi="Times New Roman" w:cs="Times New Roman"/>
          <w:kern w:val="0"/>
          <w:sz w:val="24"/>
          <w:szCs w:val="24"/>
          <w14:ligatures w14:val="none"/>
        </w:rPr>
        <w:t xml:space="preserve"> </w:t>
      </w:r>
      <w:r w:rsidR="00FE1173">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{"citationID":"JJDginAu","properties":{"formattedCitation":"(\\uc0\\u214{}zkan et al., 2025)","plainCitation":"(Özkan et al., 2025)","noteIndex":0},"citationItems":[{"id":"NaBsQCiw/pGtHmupg","uris":["http://zotero.org/users/local/DMv4uL3N/items/JIDSISZP"],"itemData":{"id":17340,"type":"article-journal","abstract":"With the rapid evolution of online learning, driven by technological advancements and the global transition to distance education during the COVID-19 pandemic, the demand for effective instructional design models has become increasingly critical. This study conducted a systematic mapping analysis of instructional design models tailored for online learning environments to offer a comprehensive classification and evaluation of these models. The analysis delved into the theoretical underpinnings, practical applications, and implications for educators and instructional designers. Models were categorized based on instructional conditions, desired learning outcomes, and theoretical-methodological frameworks, and thus provided a structured approach to understanding their relevance and effectiveness. The findings underscored a paradigm shift from traditional, content-centric frameworks toward adaptive, learner-centered designs that emphasize motivation, social interaction, personalization, and technological integration. Additionally, this study offered practical recommendations for selecting and implementing models that align with the dynamic needs of learners and supported future advancements in instructional design, to foster innovation and effective learning in diverse educational contexts.","container-title":"The International Review of Research in Open and Distributed Learning","DOI":"10.19173/irrodl.v26i3.8507","ISSN":"1492-3831","issue":"3","journalAbbreviation":"IRRODL","license":"http://creativecommons.org/licenses/by/4.0","page":"126-148","source":"DOI.org (Crossref)","title":"The Past and Present of Instructional Design in Online Learning: Trends and Emerging Directions","title-short":"The Past and Present of Instructional Design in Online Learning","volume":"26","author":[{"family":"Özkan","given":"Adem"},{"family":"Çevik","given":"İsak"},{"family":"Saylan","given":"Esin"},{"family":"Çakıroğlu","given":"Ünal"}],"issued":{"date-parts":[["2025",8,14]]}}}],"schema":"https://github.com/citation-style-language/schema/raw/master/csl-citation.json"} </w:instrText>
      </w:r>
      <w:r w:rsidR="00FE1173">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szCs w:val="24"/>
        </w:rPr>
        <w:t>(Özkan et al., 2025</w:t>
      </w:r>
      <w:r w:rsidR="00FE1173">
        <w:rPr>
          <w:rFonts w:ascii="Times New Roman" w:eastAsia="Times New Roman" w:hAnsi="Times New Roman" w:cs="Times New Roman"/>
          <w:kern w:val="0"/>
          <w:sz w:val="24"/>
          <w:szCs w:val="24"/>
          <w14:ligatures w14:val="none"/>
        </w:rPr>
        <w:fldChar w:fldCharType="end"/>
      </w:r>
      <w:r w:rsidR="00FE1173">
        <w:rPr>
          <w:rFonts w:ascii="Times New Roman" w:eastAsia="Times New Roman" w:hAnsi="Times New Roman" w:cs="Times New Roman"/>
          <w:kern w:val="0"/>
          <w:sz w:val="24"/>
          <w:szCs w:val="24"/>
          <w14:ligatures w14:val="none"/>
        </w:rPr>
        <w:t xml:space="preserve">; </w:t>
      </w:r>
      <w:r w:rsidR="00FE1173">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{"citationID":"aLxKxwiB","properties":{"formattedCitation":"(Wenzel &amp; Moreno, 2022)","plainCitation":"(Wenzel &amp; Moreno, 2022)","noteIndex":0},"citationItems":[{"id":"NaBsQCiw/9bh4z3yF","uris":["http://zotero.org/users/local/DMv4uL3N/items/DQUZAH8R"],"itemData":{"id":17342,"type":"article-journal","abstract":"Higher education institutions seek to provide instructional opportunities that challenge students with a high level of academic rigor founded in a robust curriculum. Recognizing that learners are more diverse than ever before, and instructional formats are shifting away from traditional inperson learning experiences and toward online learning, it is clear that new technologies, delivery platforms, and pedagogies are required. Further, for online learning to be successful, both courses and the platforms on which they are hosted must not only meet institutional goals, but also serve the unique needs of students by providing online learning that is accessible and navigable as well as providing learners with relevant and personalized experiences. The authors aim to provide research-based practices to support stakeholders who are interested in techniques that translate to a more beneficial and accessible student experience in online learning and help instructors engineer their course design with artful, targeted purpose.","container-title":"The Northwest eLearning Journal","DOI":"10.5399/osu/nwelearn.2.1.5642","ISSN":"2768-1378","issue":"1","journalAbbreviation":"nwelearn","license":"https://creativecommons.org/licenses/by-nc-sa/4.0/","source":"DOI.org (Crossref)","title":"Designing and Facilitating Optimal LMS Student Learning Experiences: Considering students' needs for accessibility, navigability, personalization, and relevance in their online courses","title-short":"Designing and Facilitating Optimal LMS Student Learning Experiences","URL":"https://journals.oregondigital.org/nwelearn/article/view/5642","volume":"2","author":[{"family":"Wenzel","given":"Alicia"},{"family":"Moreno","given":"Jennifer"}],"accessed":{"date-parts":[["2026",9,22]]},"issued":{"date-parts":[["2022",5,23]]}}}],"schema":"https://github.com/citation-style-language/schema/raw/master/csl-citation.json"} </w:instrText>
      </w:r>
      <w:r w:rsidR="00FE1173">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Wenzel &amp; Moreno, 2022</w:t>
      </w:r>
      <w:r w:rsidR="00FE1173">
        <w:rPr>
          <w:rFonts w:ascii="Times New Roman" w:eastAsia="Times New Roman" w:hAnsi="Times New Roman" w:cs="Times New Roman"/>
          <w:kern w:val="0"/>
          <w:sz w:val="24"/>
          <w:szCs w:val="24"/>
          <w14:ligatures w14:val="none"/>
        </w:rPr>
        <w:fldChar w:fldCharType="end"/>
      </w:r>
      <w:r w:rsidR="00C77B33">
        <w:rPr>
          <w:rFonts w:ascii="Times New Roman" w:eastAsia="Times New Roman" w:hAnsi="Times New Roman" w:cs="Times New Roman"/>
          <w:kern w:val="0"/>
          <w:sz w:val="24"/>
          <w:szCs w:val="24"/>
          <w14:ligatures w14:val="none"/>
        </w:rPr>
        <w:t xml:space="preserve">; </w:t>
      </w:r>
      <w:r w:rsidR="00C77B33">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{"citationID":"vDwmBypo","properties":{"unsorted":false,"formattedCitation":"(Monazam-Tabrizi et al., 2026)","plainCitation":"(Monazam-Tabrizi et al., 2026)","noteIndex":0},"citationItems":[{"id":15936,"uris":["http://zotero.org/users/local/vwAKDnao/items/PP3IKNB7"],"itemData":{"id":15936,"type":"article-journal","container-title":"Computers &amp; Education","DOI":"10.1016/j.compedu.2025.105534","ISSN":"03601315","journalAbbreviation":"Computers &amp; Education","language":"en","page":"105534","source":"DOI.org (Crossref)","title":"Navigating learning disruptions: The role of digital learning platforms in student motivation, feedback and emotion","title-short":"Navigating learning disruptions","URL":"https://linkinghub.elsevier.com/retrieve/pii/S0360131525003033","volume":"246","author":[{"family":"Monazam-Tabrizi","given":"Negar"},{"family":"Kurt","given":"Yusuf"},{"family":"Kang","given":"William","dropping-particle":"il-Kuk"}],"accessed":{"date-parts":[["2026",9,26]]},"issued":{"date-parts":[["2026",6]]}}}],"schema":"https://github.com/citation-style-language/schema/raw/master/csl-citation.json"} </w:instrText>
      </w:r>
      <w:r w:rsidR="00C77B33">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Monazam-Tabrizi et al., 2026)</w:t>
      </w:r>
      <w:r w:rsidR="00C77B33">
        <w:rPr>
          <w:rFonts w:ascii="Times New Roman" w:eastAsia="Times New Roman" w:hAnsi="Times New Roman" w:cs="Times New Roman"/>
          <w:kern w:val="0"/>
          <w:sz w:val="24"/>
          <w:szCs w:val="24"/>
          <w14:ligatures w14:val="none"/>
        </w:rPr>
        <w:fldChar w:fldCharType="end"/>
      </w:r>
      <w:r w:rsidRPr="004E6BA5">
        <w:rPr>
          <w:rFonts w:ascii="Times New Roman" w:eastAsia="Times New Roman" w:hAnsi="Times New Roman" w:cs="Times New Roman"/>
          <w:kern w:val="0"/>
          <w:sz w:val="24"/>
          <w:szCs w:val="24"/>
          <w14:ligatures w14:val="none"/>
        </w:rPr>
        <w:t xml:space="preserve">. Consequently, online course architectures rarely integrate actionable, real-time strategy supports directly into weekly learning workflows, leaving a critical disconnect between content availability and the cognitive mechanics required for student self-regulation, particularly </w:t>
      </w:r>
      <w:r w:rsidRPr="004E6BA5">
        <w:rPr>
          <w:rFonts w:ascii="Times New Roman" w:eastAsia="Times New Roman" w:hAnsi="Times New Roman" w:cs="Times New Roman"/>
          <w:kern w:val="0"/>
          <w:sz w:val="24"/>
          <w:szCs w:val="24"/>
          <w14:ligatures w14:val="none"/>
        </w:rPr>
        <w:lastRenderedPageBreak/>
        <w:t>under constraints where instructor workload must remain manageable</w:t>
      </w:r>
      <w:r w:rsidR="00C77B33">
        <w:rPr>
          <w:rFonts w:ascii="Times New Roman" w:eastAsia="Times New Roman" w:hAnsi="Times New Roman" w:cs="Times New Roman"/>
          <w:kern w:val="0"/>
          <w:sz w:val="24"/>
          <w:szCs w:val="24"/>
          <w14:ligatures w14:val="none"/>
        </w:rPr>
        <w:t xml:space="preserve"> </w:t>
      </w:r>
      <w:r w:rsidR="00C77B33">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{"citationID":"2P0JDVS9","properties":{"unsorted":false,"formattedCitation":"(Bassner et al., 2026)","plainCitation":"(Bassner et al., 2026)","noteIndex":0},"citationItems":[{"id":15937,"uris":["http://zotero.org/users/local/vwAKDnao/items/YF9PEH52"],"itemData":{"id":15937,"type":"article-journal","container-title":"Computers and Education: Artificial Intelligence","DOI":"10.1016/j.caeai.2025.100537","ISSN":"2666920X","journalAbbreviation":"Computers and Education: Artificial Intelligence","language":"en","page":"100537","source":"DOI.org (Crossref)","title":"Less stress, better scores, same learning: The dissociation of performance and learning in AI-supported programming education","title-short":"Less stress, better scores, same learning","URL":"https://linkinghub.elsevier.com/retrieve/pii/S2666920X25001778","volume":"10","author":[{"family":"Bassner","given":"Patrick"},{"family":"Lenk-Ostendorf","given":"Ben"},{"family":"Beinstingel","given":"Ramona"},{"family":"Wasner","given":"Tobias"},{"family":"Krusche","given":"Stephan"}],"accessed":{"date-parts":[["2026",9,26]]},"issued":{"date-parts":[["2026",6]]}}}],"schema":"https://github.com/citation-style-language/schema/raw/master/csl-citation.json"} </w:instrText>
      </w:r>
      <w:r w:rsidR="00C77B33">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(Bassner et al., 2026</w:t>
      </w:r>
      <w:r w:rsidR="00C77B33">
        <w:rPr>
          <w:rFonts w:ascii="Times New Roman" w:eastAsia="Times New Roman" w:hAnsi="Times New Roman" w:cs="Times New Roman"/>
          <w:kern w:val="0"/>
          <w:sz w:val="24"/>
          <w:szCs w:val="24"/>
          <w14:ligatures w14:val="none"/>
        </w:rPr>
        <w:fldChar w:fldCharType="end"/>
      </w:r>
      <w:r w:rsidR="00C77B33">
        <w:rPr>
          <w:rFonts w:ascii="Times New Roman" w:eastAsia="Times New Roman" w:hAnsi="Times New Roman" w:cs="Times New Roman"/>
          <w:kern w:val="0"/>
          <w:sz w:val="24"/>
          <w:szCs w:val="24"/>
          <w14:ligatures w14:val="none"/>
        </w:rPr>
        <w:t xml:space="preserve">; </w:t>
      </w:r>
      <w:r w:rsidR="00C77B33">
        <w:rPr>
          <w:rFonts w:ascii="Times New Roman" w:eastAsia="Times New Roman" w:hAnsi="Times New Roman" w:cs="Times New Roman"/>
          <w:kern w:val="0"/>
          <w:sz w:val="24"/>
          <w:szCs w:val="24"/>
          <w14:ligatures w14:val="none"/>
        </w:rPr>
        <w:fldChar w:fldCharType="begin"/>
      </w:r>
      <w:r w:rsidR="00B7239F">
        <w:rPr>
          <w:rFonts w:ascii="Times New Roman" w:eastAsia="Times New Roman" w:hAnsi="Times New Roman" w:cs="Times New Roman"/>
          <w:kern w:val="0"/>
          <w:sz w:val="24"/>
          <w:szCs w:val="24"/>
          <w14:ligatures w14:val="none"/>
        </w:rPr>
        <w:instrText xml:space="preserve"> ADDIN ZOTERO_ITEM CSL_CITATION {"citationID":"Uh5v1kFq","properties":{"unsorted":false,"formattedCitation":"(Rooney et al., 2025)","plainCitation":"(Rooney et al., 2025)","noteIndex":0},"citationItems":[{"id":15938,"uris":["http://zotero.org/users/local/vwAKDnao/items/HT4AXIK5"],"itemData":{"id":15938,"type":"article-journal","container-title":"Biomedical Engineering Education","DOI":"10.1007/s43683-025-00176-8","ISSN":"2730-5937, 2730-5945","issue":"2","journalAbbreviation":"Biomed Eng Education","language":"en","page":"107-120","source":"DOI.org (Crossref)","title":"Identifying and Overcoming Barriers to Classroom Engagement in Biomedical Engineering Education","URL":"https://link.springer.com/10.1007/s43683-025-00176-8","volume":"5","author":[{"family":"Rooney","given":"Sarah Ilkhanipour"},{"family":"King","given":"Christine Elizabeth"},{"family":"Christian","given":"Laura"},{"family":"Kavdia","given":"Mahendra"},{"family":"Kays","given":"Joshua C."},{"family":"Shady","given":"Sally F."}],"accessed":{"date-parts":[["2026",9,26]]},"issued":{"date-parts":[["2025",7]]}}}],"schema":"https://github.com/citation-style-language/schema/raw/master/csl-citation.json"} </w:instrText>
      </w:r>
      <w:r w:rsidR="00C77B33">
        <w:rPr>
          <w:rFonts w:ascii="Times New Roman" w:eastAsia="Times New Roman" w:hAnsi="Times New Roman" w:cs="Times New Roman"/>
          <w:kern w:val="0"/>
          <w:sz w:val="24"/>
          <w:szCs w:val="24"/>
          <w14:ligatures w14:val="none"/>
        </w:rPr>
        <w:fldChar w:fldCharType="separate"/>
      </w:r>
      <w:r w:rsidR="00B7239F" w:rsidRPr="00B7239F">
        <w:rPr>
          <w:rFonts w:ascii="Times New Roman" w:hAnsi="Times New Roman" w:cs="Times New Roman"/>
          <w:sz w:val="24"/>
        </w:rPr>
        <w:t>Rooney et al., 2025)</w:t>
      </w:r>
      <w:r w:rsidR="00C77B33">
        <w:rPr>
          <w:rFonts w:ascii="Times New Roman" w:eastAsia="Times New Roman" w:hAnsi="Times New Roman" w:cs="Times New Roman"/>
          <w:kern w:val="0"/>
          <w:sz w:val="24"/>
          <w:szCs w:val="24"/>
          <w14:ligatures w14:val="none"/>
        </w:rPr>
        <w:fldChar w:fldCharType="end"/>
      </w:r>
      <w:r w:rsidR="00D3328B">
        <w:rPr>
          <w:rFonts w:ascii="Times New Roman" w:eastAsia="Times New Roman" w:hAnsi="Times New Roman" w:cs="Times New Roman"/>
          <w:kern w:val="0"/>
          <w:sz w:val="24"/>
          <w:szCs w:val="24"/>
          <w14:ligatures w14:val="none"/>
        </w:rPr>
        <w:t>.</w:t>
      </w:r>
    </w:p>
    <w:p w14:paraId="622F3259" w14:textId="0F51EFAD" w:rsidR="004E6BA5" w:rsidRDefault="004E6BA5" w:rsidP="00BB0839">
      <w:pPr>
        <w:spacing w:after="0" w:line="240" w:lineRule="auto"/>
        <w:ind w:firstLine="720"/>
        <w:jc w:val="both"/>
        <w:rPr>
          <w:rFonts w:ascii="Times New Roman" w:eastAsia="Times New Roman" w:hAnsi="Times New Roman" w:cs="Times New Roman"/>
          <w:kern w:val="0"/>
          <w:sz w:val="24"/>
          <w:szCs w:val="24"/>
          <w14:ligatures w14:val="none"/>
        </w:rPr>
      </w:pPr>
      <w:r w:rsidRPr="004E6BA5">
        <w:rPr>
          <w:rFonts w:ascii="Times New Roman" w:eastAsia="Times New Roman" w:hAnsi="Times New Roman" w:cs="Times New Roman"/>
          <w:kern w:val="0"/>
          <w:sz w:val="24"/>
          <w:szCs w:val="24"/>
          <w14:ligatures w14:val="none"/>
        </w:rPr>
        <w:t>To address these structural limitations, this study presents an integrated, low-overhead instructional framework specifically engineered to embed self-regulation mechanics directly into asynchronous distance courses. Rather than relying on separate remedial workshops or intensive manual monitoring by faculty, the proposed design operationalizes Zimmerman’s cyclical model through a triadic scaffolding structure embedded within routine module tasks: forethought goal-setting templates, mid-week metacognitive reflection prompts, and real-time visual progress monitoring dashboards. The primary objective of this research is to evaluate how this process-oriented scaffolding model influences student engagement patterns, self-efficacy development, and overall course persistence across an academic term, offering distance educators a practical blueprint for transforming digital courses into supportive, self-regulating learning environments.</w:t>
      </w:r>
    </w:p>
    <w:p w14:paraId="556489A7" w14:textId="77777777" w:rsidR="00BB0839" w:rsidRPr="00320BD4" w:rsidRDefault="00BB0839" w:rsidP="00BB0839">
      <w:pPr>
        <w:spacing w:after="0" w:line="240" w:lineRule="auto"/>
        <w:ind w:firstLine="720"/>
        <w:jc w:val="both"/>
        <w:rPr>
          <w:rFonts w:ascii="Times New Roman" w:eastAsia="Times New Roman" w:hAnsi="Times New Roman" w:cs="Times New Roman"/>
          <w:kern w:val="0"/>
          <w:sz w:val="24"/>
          <w:szCs w:val="24"/>
          <w14:ligatures w14:val="none"/>
        </w:rPr>
      </w:pPr>
    </w:p>
    <w:p w14:paraId="4E2C32EB" w14:textId="73B625FF" w:rsidR="00320BD4" w:rsidRDefault="00EE69E6" w:rsidP="00A72D27">
      <w:pPr>
        <w:spacing w:after="0" w:line="240" w:lineRule="auto"/>
        <w:outlineLvl w:val="2"/>
        <w:rPr>
          <w:rFonts w:ascii="Times New Roman" w:eastAsia="Times New Roman" w:hAnsi="Times New Roman" w:cs="Times New Roman"/>
          <w:b/>
          <w:bCs/>
          <w:kern w:val="0"/>
          <w:sz w:val="24"/>
          <w:szCs w:val="24"/>
          <w14:ligatures w14:val="none"/>
        </w:rPr>
      </w:pPr>
      <w:r w:rsidRPr="00320BD4">
        <w:rPr>
          <w:rFonts w:ascii="Times New Roman" w:eastAsia="Times New Roman" w:hAnsi="Times New Roman" w:cs="Times New Roman"/>
          <w:b/>
          <w:bCs/>
          <w:kern w:val="0"/>
          <w:sz w:val="24"/>
          <w:szCs w:val="24"/>
          <w14:ligatures w14:val="none"/>
        </w:rPr>
        <w:t>Methodology</w:t>
      </w:r>
    </w:p>
    <w:p w14:paraId="2DDCA571" w14:textId="77777777" w:rsidR="00A72D27" w:rsidRPr="00320BD4" w:rsidRDefault="00A72D27" w:rsidP="00A72D27">
      <w:pPr>
        <w:spacing w:after="0" w:line="240" w:lineRule="auto"/>
        <w:outlineLvl w:val="2"/>
        <w:rPr>
          <w:rFonts w:ascii="Times New Roman" w:eastAsia="Times New Roman" w:hAnsi="Times New Roman" w:cs="Times New Roman"/>
          <w:b/>
          <w:bCs/>
          <w:kern w:val="0"/>
          <w:sz w:val="24"/>
          <w:szCs w:val="24"/>
          <w14:ligatures w14:val="none"/>
        </w:rPr>
      </w:pPr>
    </w:p>
    <w:p w14:paraId="03BC967C" w14:textId="273EF13F" w:rsidR="00EE69E6" w:rsidRPr="00196677" w:rsidRDefault="00EE69E6" w:rsidP="00EE69E6">
      <w:pPr>
        <w:pStyle w:val="NormalWeb"/>
        <w:spacing w:before="0" w:beforeAutospacing="0" w:after="0" w:afterAutospacing="0"/>
        <w:jc w:val="both"/>
        <w:rPr>
          <w:i/>
          <w:iCs/>
        </w:rPr>
      </w:pPr>
      <w:r w:rsidRPr="00196677">
        <w:rPr>
          <w:i/>
          <w:iCs/>
        </w:rPr>
        <w:t xml:space="preserve">Research </w:t>
      </w:r>
      <w:r w:rsidR="00196677" w:rsidRPr="00196677">
        <w:rPr>
          <w:i/>
          <w:iCs/>
        </w:rPr>
        <w:t>d</w:t>
      </w:r>
      <w:r w:rsidRPr="00196677">
        <w:rPr>
          <w:i/>
          <w:iCs/>
        </w:rPr>
        <w:t>esign</w:t>
      </w:r>
    </w:p>
    <w:p w14:paraId="74E5CFD0" w14:textId="34B9BD80" w:rsidR="00EE69E6" w:rsidRDefault="00EE69E6" w:rsidP="00196677">
      <w:pPr>
        <w:pStyle w:val="NormalWeb"/>
        <w:spacing w:before="0" w:beforeAutospacing="0" w:after="0" w:afterAutospacing="0"/>
        <w:ind w:firstLine="720"/>
        <w:jc w:val="both"/>
      </w:pPr>
      <w:r w:rsidRPr="00EE69E6">
        <w:t>This study adopted a mixed-methods quasi-experimental design conducted over a 12-week academic semester to evaluate the pedagogical impact of an embedded Self-Regulated Learning (SRL) instructional scaffolding framework in a distance education setting. A quasi-experimental approach was chosen due to institutional constraints that prevented the random assignment of students to degree courses without disrupting natural enrollment workflows. The study established two parallel cohorts: an experimental group exposed to the SRL-embedded course architecture and a control group receiving standard asynchronous content delivery without explicit metacognitive scaffolds. Quantitative data were gathered to evaluate behavioral engagement, task completion timeliness, self-efficacy gains, and overall course persistence, while qualitative data provided deeper contextual insights into learners' metacognitive adaptations and perceived transactional distance.</w:t>
      </w:r>
    </w:p>
    <w:p w14:paraId="54A7B981" w14:textId="77777777" w:rsidR="00196677" w:rsidRPr="00EE69E6" w:rsidRDefault="00196677" w:rsidP="00196677">
      <w:pPr>
        <w:pStyle w:val="NormalWeb"/>
        <w:spacing w:before="0" w:beforeAutospacing="0" w:after="0" w:afterAutospacing="0"/>
        <w:ind w:firstLine="720"/>
        <w:jc w:val="both"/>
      </w:pPr>
    </w:p>
    <w:p w14:paraId="2F624451" w14:textId="0E52DA95" w:rsidR="00EE69E6" w:rsidRPr="00196677" w:rsidRDefault="00EE69E6" w:rsidP="00EE69E6">
      <w:pPr>
        <w:pStyle w:val="NormalWeb"/>
        <w:spacing w:before="0" w:beforeAutospacing="0" w:after="0" w:afterAutospacing="0"/>
        <w:jc w:val="both"/>
        <w:rPr>
          <w:i/>
          <w:iCs/>
        </w:rPr>
      </w:pPr>
      <w:r w:rsidRPr="00196677">
        <w:rPr>
          <w:i/>
          <w:iCs/>
        </w:rPr>
        <w:t xml:space="preserve">Participants and </w:t>
      </w:r>
      <w:r w:rsidR="00196677" w:rsidRPr="00196677">
        <w:rPr>
          <w:i/>
          <w:iCs/>
        </w:rPr>
        <w:t>institutional context</w:t>
      </w:r>
    </w:p>
    <w:p w14:paraId="67E3A4AD" w14:textId="5FD6970B" w:rsidR="00EE69E6" w:rsidRDefault="00EE69E6" w:rsidP="00196677">
      <w:pPr>
        <w:pStyle w:val="NormalWeb"/>
        <w:spacing w:before="0" w:beforeAutospacing="0" w:after="0" w:afterAutospacing="0"/>
        <w:ind w:firstLine="720"/>
        <w:jc w:val="both"/>
      </w:pPr>
      <w:r w:rsidRPr="00EE69E6">
        <w:t>The investigation was carried out within an asynchronous undergraduate distance education course hosted on a Moodle-based Learning Management System (LMS) at North South University. A total of 142 enrolled undergraduate students participated in the study (</w:t>
      </w:r>
      <w:r w:rsidRPr="00EE69E6">
        <w:rPr>
          <w:rStyle w:val="math-inline"/>
        </w:rPr>
        <w:t>N = 142</w:t>
      </w:r>
      <w:r w:rsidRPr="00EE69E6">
        <w:t>). Participants were assigned by course section into either the experimental group (</w:t>
      </w:r>
      <w:r w:rsidRPr="00EE69E6">
        <w:rPr>
          <w:rStyle w:val="math-inline"/>
        </w:rPr>
        <w:t>n = 72</w:t>
      </w:r>
      <w:r w:rsidRPr="00EE69E6">
        <w:t>) or the control group (</w:t>
      </w:r>
      <w:r w:rsidRPr="00EE69E6">
        <w:rPr>
          <w:rStyle w:val="math-inline"/>
        </w:rPr>
        <w:t>n = 70</w:t>
      </w:r>
      <w:r w:rsidRPr="00EE69E6">
        <w:t xml:space="preserve">). Prior to the intervention, baseline equivalence between the two cohorts was established using independent sample </w:t>
      </w:r>
      <w:r w:rsidRPr="00EE69E6">
        <w:rPr>
          <w:rStyle w:val="math-inline"/>
        </w:rPr>
        <w:t>$t$</w:t>
      </w:r>
      <w:r w:rsidRPr="00EE69E6">
        <w:t>-tests on historical cumulative GPA (</w:t>
      </w:r>
      <w:r w:rsidRPr="00EE69E6">
        <w:rPr>
          <w:rStyle w:val="math-inline"/>
        </w:rPr>
        <w:t>t = 0.412, p = 0.681</w:t>
      </w:r>
      <w:r w:rsidRPr="00EE69E6">
        <w:t xml:space="preserve">) and baseline scores from the </w:t>
      </w:r>
      <w:r w:rsidR="00F43A20" w:rsidRPr="00EE69E6">
        <w:t xml:space="preserve">online self-regulated learning questionnaire </w:t>
      </w:r>
      <w:r w:rsidRPr="00EE69E6">
        <w:t>(OSLQ) (</w:t>
      </w:r>
      <w:r w:rsidRPr="00EE69E6">
        <w:rPr>
          <w:rStyle w:val="math-inline"/>
        </w:rPr>
        <w:t>t = 0.385, p = 0.701</w:t>
      </w:r>
      <w:r w:rsidRPr="00EE69E6">
        <w:t>), confirming no statistically significant initial differences. Ethical approval was granted by the institutional review board, and informed consent was obtained electronically from all participants prior to data collection.</w:t>
      </w:r>
    </w:p>
    <w:p w14:paraId="24DEC898" w14:textId="77777777" w:rsidR="00F43A20" w:rsidRPr="00EE69E6" w:rsidRDefault="00F43A20" w:rsidP="00196677">
      <w:pPr>
        <w:pStyle w:val="NormalWeb"/>
        <w:spacing w:before="0" w:beforeAutospacing="0" w:after="0" w:afterAutospacing="0"/>
        <w:ind w:firstLine="720"/>
        <w:jc w:val="both"/>
      </w:pPr>
    </w:p>
    <w:p w14:paraId="2331651B" w14:textId="30DFC9DD" w:rsidR="00EE69E6" w:rsidRPr="00F43A20" w:rsidRDefault="00F43A20" w:rsidP="00EE69E6">
      <w:pPr>
        <w:pStyle w:val="NormalWeb"/>
        <w:spacing w:before="0" w:beforeAutospacing="0" w:after="0" w:afterAutospacing="0"/>
        <w:jc w:val="both"/>
        <w:rPr>
          <w:i/>
          <w:iCs/>
        </w:rPr>
      </w:pPr>
      <w:r w:rsidRPr="00F43A20">
        <w:rPr>
          <w:i/>
          <w:iCs/>
        </w:rPr>
        <w:t>Instructional intervention and scaffolding framework</w:t>
      </w:r>
    </w:p>
    <w:p w14:paraId="0D05C336" w14:textId="3F4E5976" w:rsidR="00EE69E6" w:rsidRPr="00F43A20" w:rsidRDefault="00EE69E6" w:rsidP="00F87898">
      <w:pPr>
        <w:pStyle w:val="NormalWeb"/>
        <w:spacing w:before="0" w:beforeAutospacing="0" w:after="0" w:afterAutospacing="0"/>
        <w:ind w:firstLine="720"/>
        <w:jc w:val="both"/>
      </w:pPr>
      <w:r w:rsidRPr="00EE69E6">
        <w:t xml:space="preserve">Both student cohorts received identical syllabus requirements, lecture materials, video content, reading assignments, and summative assessments. However, the experimental group interacted with an instructional framework designed around Zimmerman’s triadic cyclical model of SRL, comprising three low-overhead, embedded scaffolds integrated directly into weekly LMS </w:t>
      </w:r>
      <w:r w:rsidRPr="00EE69E6">
        <w:lastRenderedPageBreak/>
        <w:t>workflows</w:t>
      </w:r>
      <w:r w:rsidR="0064171B">
        <w:t xml:space="preserve"> (Figure 1)</w:t>
      </w:r>
      <w:r w:rsidRPr="00EE69E6">
        <w:t>:</w:t>
      </w:r>
      <w:r w:rsidR="00F87898">
        <w:t xml:space="preserve"> </w:t>
      </w:r>
      <w:r w:rsidR="00F43A20" w:rsidRPr="00F43A20">
        <w:t>Forethought phase scaffold (goal-setting templates): at the start of each weekly module, students were required to complete a 3-minute structured planning template. This tool prompted learners to specify weekly target study hours, schedule designated task windows, and outline personal strategies to mitigate environmental distractions</w:t>
      </w:r>
      <w:r w:rsidR="00F87898">
        <w:t xml:space="preserve">; </w:t>
      </w:r>
      <w:r w:rsidR="00F43A20" w:rsidRPr="00F43A20">
        <w:t>Performance phase scaffold (visual progress tracking): a real-time visual progress monitoring dashboard was integrated into the experimental course interface. The tool provided dynamic feedback on module completion status, upcoming assignment deadlines, and personal milestone achievements to support self-monitoring</w:t>
      </w:r>
      <w:r w:rsidR="00F87898">
        <w:t xml:space="preserve">; </w:t>
      </w:r>
      <w:r w:rsidR="00F43A20" w:rsidRPr="00F43A20">
        <w:t>Self-reflection phase scaffold (metacognitive prompts):</w:t>
      </w:r>
      <w:r w:rsidR="00F43A20" w:rsidRPr="00EE69E6">
        <w:t xml:space="preserve"> </w:t>
      </w:r>
      <w:r w:rsidRPr="00EE69E6">
        <w:t>Upon concluding each weekly module, learners submitted brief, mandatory reflection responses (1–2 sentences). Prompts guided students to evaluate their study efficiency, identify cognitive or time-management obstacles encountered, and formulate adaptive adjustments for the subsequent week.</w:t>
      </w:r>
    </w:p>
    <w:p w14:paraId="55447D89" w14:textId="733EA32B" w:rsidR="004938AC" w:rsidRDefault="004938AC" w:rsidP="004938AC">
      <w:pPr>
        <w:spacing w:after="0" w:line="240" w:lineRule="auto"/>
        <w:jc w:val="both"/>
        <w:rPr>
          <w:rFonts w:ascii="Times New Roman" w:eastAsia="Times New Roman" w:hAnsi="Times New Roman" w:cs="Times New Roman"/>
          <w:b/>
          <w:bCs/>
          <w:kern w:val="0"/>
          <w:sz w:val="24"/>
          <w:szCs w:val="24"/>
          <w14:ligatures w14:val="none"/>
        </w:rPr>
      </w:pPr>
    </w:p>
    <w:p w14:paraId="45069CD6" w14:textId="350382BE" w:rsidR="00B51B03" w:rsidRDefault="00F87898" w:rsidP="00D3328B">
      <w:pPr>
        <w:spacing w:after="0" w:line="240" w:lineRule="auto"/>
        <w:jc w:val="center"/>
        <w:rPr>
          <w:rFonts w:ascii="Times New Roman" w:eastAsia="Times New Roman" w:hAnsi="Times New Roman" w:cs="Times New Roman"/>
          <w:b/>
          <w:bCs/>
          <w:kern w:val="0"/>
          <w:sz w:val="24"/>
          <w:szCs w:val="24"/>
          <w14:ligatures w14:val="none"/>
        </w:rPr>
      </w:pPr>
      <w:r w:rsidRPr="00F87898">
        <w:rPr>
          <w:rFonts w:ascii="Times New Roman" w:eastAsia="Times New Roman" w:hAnsi="Times New Roman" w:cs="Times New Roman"/>
          <w:b/>
          <w:bCs/>
          <w:noProof/>
          <w:kern w:val="0"/>
          <w:sz w:val="24"/>
          <w:szCs w:val="24"/>
          <w14:ligatures w14:val="none"/>
        </w:rPr>
        <w:drawing>
          <wp:inline distT="0" distB="0" distL="0" distR="0" wp14:anchorId="62BB8F2F" wp14:editId="7C754C13">
            <wp:extent cx="3848431" cy="16779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61889" cy="1683841"/>
                    </a:xfrm>
                    <a:prstGeom prst="rect">
                      <a:avLst/>
                    </a:prstGeom>
                  </pic:spPr>
                </pic:pic>
              </a:graphicData>
            </a:graphic>
          </wp:inline>
        </w:drawing>
      </w:r>
    </w:p>
    <w:p w14:paraId="71F3B7F6" w14:textId="34B3DE42" w:rsidR="00F87898" w:rsidRPr="00F87898" w:rsidRDefault="0066640A" w:rsidP="00F87898">
      <w:pPr>
        <w:spacing w:after="0"/>
        <w:jc w:val="center"/>
        <w:rPr>
          <w:rFonts w:ascii="Times New Roman" w:hAnsi="Times New Roman" w:cs="Times New Roman"/>
          <w:sz w:val="24"/>
          <w:szCs w:val="24"/>
        </w:rPr>
      </w:pPr>
      <w:r w:rsidRPr="00D3328B">
        <w:rPr>
          <w:rFonts w:ascii="Times New Roman" w:eastAsia="Times New Roman" w:hAnsi="Times New Roman" w:cs="Times New Roman"/>
          <w:kern w:val="0"/>
          <w:sz w:val="24"/>
          <w:szCs w:val="24"/>
          <w14:ligatures w14:val="none"/>
        </w:rPr>
        <w:t>Figure 1.</w:t>
      </w:r>
      <w:r w:rsidRPr="00F87898">
        <w:rPr>
          <w:rFonts w:ascii="Times New Roman" w:eastAsia="Times New Roman" w:hAnsi="Times New Roman" w:cs="Times New Roman"/>
          <w:b/>
          <w:bCs/>
          <w:kern w:val="0"/>
          <w:sz w:val="24"/>
          <w:szCs w:val="24"/>
          <w14:ligatures w14:val="none"/>
        </w:rPr>
        <w:t xml:space="preserve"> </w:t>
      </w:r>
      <w:r w:rsidR="00F87898" w:rsidRPr="00F87898">
        <w:rPr>
          <w:rFonts w:ascii="Times New Roman" w:hAnsi="Times New Roman" w:cs="Times New Roman"/>
          <w:sz w:val="24"/>
          <w:szCs w:val="24"/>
        </w:rPr>
        <w:t>Instructional SRL Scaffolding Framework Integrated into LMS Workflow</w:t>
      </w:r>
    </w:p>
    <w:p w14:paraId="082B88C2" w14:textId="2DE54B3C" w:rsidR="0064171B" w:rsidRDefault="0064171B" w:rsidP="004938AC">
      <w:pPr>
        <w:spacing w:after="0" w:line="240" w:lineRule="auto"/>
        <w:jc w:val="both"/>
        <w:rPr>
          <w:rFonts w:ascii="Times New Roman" w:eastAsia="Times New Roman" w:hAnsi="Times New Roman" w:cs="Times New Roman"/>
          <w:b/>
          <w:bCs/>
          <w:kern w:val="0"/>
          <w:sz w:val="24"/>
          <w:szCs w:val="24"/>
          <w14:ligatures w14:val="none"/>
        </w:rPr>
      </w:pPr>
    </w:p>
    <w:p w14:paraId="5B0F461E" w14:textId="72B72699" w:rsidR="00E63040" w:rsidRPr="00E63040" w:rsidRDefault="004938AC" w:rsidP="004938AC">
      <w:pPr>
        <w:spacing w:after="0" w:line="240" w:lineRule="auto"/>
        <w:jc w:val="both"/>
        <w:rPr>
          <w:rFonts w:ascii="Times New Roman" w:eastAsia="Times New Roman" w:hAnsi="Times New Roman" w:cs="Times New Roman"/>
          <w:i/>
          <w:iCs/>
          <w:kern w:val="0"/>
          <w:sz w:val="24"/>
          <w:szCs w:val="24"/>
          <w14:ligatures w14:val="none"/>
        </w:rPr>
      </w:pPr>
      <w:r w:rsidRPr="00E63040">
        <w:rPr>
          <w:rFonts w:ascii="Times New Roman" w:eastAsia="Times New Roman" w:hAnsi="Times New Roman" w:cs="Times New Roman"/>
          <w:i/>
          <w:iCs/>
          <w:kern w:val="0"/>
          <w:sz w:val="24"/>
          <w:szCs w:val="24"/>
          <w14:ligatures w14:val="none"/>
        </w:rPr>
        <w:t>Data collection and instruments</w:t>
      </w:r>
    </w:p>
    <w:p w14:paraId="43DFC711" w14:textId="395DD952" w:rsidR="00E63040" w:rsidRPr="00E63040" w:rsidRDefault="00E63040" w:rsidP="0066640A">
      <w:pPr>
        <w:spacing w:after="0" w:line="240" w:lineRule="auto"/>
        <w:ind w:firstLine="720"/>
        <w:jc w:val="both"/>
        <w:rPr>
          <w:rFonts w:ascii="Times New Roman" w:eastAsia="Times New Roman" w:hAnsi="Times New Roman" w:cs="Times New Roman"/>
          <w:kern w:val="0"/>
          <w:sz w:val="24"/>
          <w:szCs w:val="24"/>
          <w14:ligatures w14:val="none"/>
        </w:rPr>
      </w:pPr>
      <w:r w:rsidRPr="00E63040">
        <w:rPr>
          <w:rFonts w:ascii="Times New Roman" w:eastAsia="Times New Roman" w:hAnsi="Times New Roman" w:cs="Times New Roman"/>
          <w:kern w:val="0"/>
          <w:sz w:val="24"/>
          <w:szCs w:val="24"/>
          <w14:ligatures w14:val="none"/>
        </w:rPr>
        <w:t>Data were collected across multiple checkpoints throughout the 12-week semester using four distinct data sources:</w:t>
      </w:r>
      <w:r w:rsidR="0066640A">
        <w:rPr>
          <w:rFonts w:ascii="Times New Roman" w:eastAsia="Times New Roman" w:hAnsi="Times New Roman" w:cs="Times New Roman"/>
          <w:kern w:val="0"/>
          <w:sz w:val="24"/>
          <w:szCs w:val="24"/>
          <w14:ligatures w14:val="none"/>
        </w:rPr>
        <w:t xml:space="preserve"> </w:t>
      </w:r>
      <w:r w:rsidR="004938AC" w:rsidRPr="00E63040">
        <w:rPr>
          <w:rFonts w:ascii="Times New Roman" w:eastAsia="Times New Roman" w:hAnsi="Times New Roman" w:cs="Times New Roman"/>
          <w:kern w:val="0"/>
          <w:sz w:val="24"/>
          <w:szCs w:val="24"/>
          <w14:ligatures w14:val="none"/>
        </w:rPr>
        <w:t>Online self-regulated learning questionnaire (OSLQ): a validated 24-item instrument measuring five subscales (goal setting, environment structuring, task strategies, time management, and self-evaluation) on a 5-point likert scale. The instrument was administered at week 1 (pre-test) and week 12 (post-test) to measure shifts in self-regulation capability (</w:t>
      </w:r>
      <w:r w:rsidR="004938AC">
        <w:rPr>
          <w:rFonts w:ascii="Times New Roman" w:eastAsia="Times New Roman" w:hAnsi="Times New Roman" w:cs="Times New Roman"/>
          <w:kern w:val="0"/>
          <w:sz w:val="24"/>
          <w:szCs w:val="24"/>
          <w14:ligatures w14:val="none"/>
        </w:rPr>
        <w:t>α</w:t>
      </w:r>
      <w:r w:rsidR="004938AC" w:rsidRPr="00E63040">
        <w:rPr>
          <w:rFonts w:ascii="Times New Roman" w:eastAsia="Times New Roman" w:hAnsi="Times New Roman" w:cs="Times New Roman"/>
          <w:kern w:val="0"/>
          <w:sz w:val="24"/>
          <w:szCs w:val="24"/>
          <w14:ligatures w14:val="none"/>
        </w:rPr>
        <w:t xml:space="preserve"> = 0.89)</w:t>
      </w:r>
      <w:r w:rsidR="0066640A">
        <w:rPr>
          <w:rFonts w:ascii="Times New Roman" w:eastAsia="Times New Roman" w:hAnsi="Times New Roman" w:cs="Times New Roman"/>
          <w:kern w:val="0"/>
          <w:sz w:val="24"/>
          <w:szCs w:val="24"/>
          <w14:ligatures w14:val="none"/>
        </w:rPr>
        <w:t xml:space="preserve">; </w:t>
      </w:r>
      <w:r w:rsidR="004938AC" w:rsidRPr="00E63040">
        <w:rPr>
          <w:rFonts w:ascii="Times New Roman" w:eastAsia="Times New Roman" w:hAnsi="Times New Roman" w:cs="Times New Roman"/>
          <w:kern w:val="0"/>
          <w:sz w:val="24"/>
          <w:szCs w:val="24"/>
          <w14:ligatures w14:val="none"/>
        </w:rPr>
        <w:t xml:space="preserve">Lms behavioral interaction logs: </w:t>
      </w:r>
      <w:r w:rsidRPr="00E63040">
        <w:rPr>
          <w:rFonts w:ascii="Times New Roman" w:eastAsia="Times New Roman" w:hAnsi="Times New Roman" w:cs="Times New Roman"/>
          <w:kern w:val="0"/>
          <w:sz w:val="24"/>
          <w:szCs w:val="24"/>
          <w14:ligatures w14:val="none"/>
        </w:rPr>
        <w:t>Server-side analytics automatically captured objective behavioral engagement metrics, including weekly module completion rates, assignment submission timestamps (on-time vs. late submissions), and discussion forum activity frequency</w:t>
      </w:r>
      <w:r w:rsidR="0066640A">
        <w:rPr>
          <w:rFonts w:ascii="Times New Roman" w:eastAsia="Times New Roman" w:hAnsi="Times New Roman" w:cs="Times New Roman"/>
          <w:kern w:val="0"/>
          <w:sz w:val="24"/>
          <w:szCs w:val="24"/>
          <w14:ligatures w14:val="none"/>
        </w:rPr>
        <w:t xml:space="preserve">; </w:t>
      </w:r>
      <w:r w:rsidR="0079781F" w:rsidRPr="00E63040">
        <w:rPr>
          <w:rFonts w:ascii="Times New Roman" w:eastAsia="Times New Roman" w:hAnsi="Times New Roman" w:cs="Times New Roman"/>
          <w:kern w:val="0"/>
          <w:sz w:val="24"/>
          <w:szCs w:val="24"/>
          <w14:ligatures w14:val="none"/>
        </w:rPr>
        <w:t>Course persistence and retention records: institutional records tracked continuous course participation, formal withdrawal requests, and final course completion status at the end of the term</w:t>
      </w:r>
      <w:r w:rsidR="0066640A">
        <w:rPr>
          <w:rFonts w:ascii="Times New Roman" w:eastAsia="Times New Roman" w:hAnsi="Times New Roman" w:cs="Times New Roman"/>
          <w:kern w:val="0"/>
          <w:sz w:val="24"/>
          <w:szCs w:val="24"/>
          <w14:ligatures w14:val="none"/>
        </w:rPr>
        <w:t xml:space="preserve">; </w:t>
      </w:r>
      <w:r w:rsidR="0079781F" w:rsidRPr="00E63040">
        <w:rPr>
          <w:rFonts w:ascii="Times New Roman" w:eastAsia="Times New Roman" w:hAnsi="Times New Roman" w:cs="Times New Roman"/>
          <w:kern w:val="0"/>
          <w:sz w:val="24"/>
          <w:szCs w:val="24"/>
          <w14:ligatures w14:val="none"/>
        </w:rPr>
        <w:t xml:space="preserve">Qualitative focus group interviews: </w:t>
      </w:r>
      <w:r w:rsidRPr="00E63040">
        <w:rPr>
          <w:rFonts w:ascii="Times New Roman" w:eastAsia="Times New Roman" w:hAnsi="Times New Roman" w:cs="Times New Roman"/>
          <w:kern w:val="0"/>
          <w:sz w:val="24"/>
          <w:szCs w:val="24"/>
          <w14:ligatures w14:val="none"/>
        </w:rPr>
        <w:t>At the conclusion of Week 12, semi-structured video interviews were conducted with a representative sub-sample of experimental group participants (n = 16) to gather qualitative perspectives regarding how the weekly scaffolds influenced their study habits, self-discipline, and feelings of transactional distance.</w:t>
      </w:r>
    </w:p>
    <w:p w14:paraId="5C8AEC85" w14:textId="77777777" w:rsidR="0079781F" w:rsidRDefault="0079781F" w:rsidP="004938AC">
      <w:pPr>
        <w:spacing w:after="0" w:line="240" w:lineRule="auto"/>
        <w:jc w:val="both"/>
        <w:rPr>
          <w:rFonts w:ascii="Times New Roman" w:eastAsia="Times New Roman" w:hAnsi="Times New Roman" w:cs="Times New Roman"/>
          <w:b/>
          <w:bCs/>
          <w:kern w:val="0"/>
          <w:sz w:val="24"/>
          <w:szCs w:val="24"/>
          <w14:ligatures w14:val="none"/>
        </w:rPr>
      </w:pPr>
    </w:p>
    <w:p w14:paraId="7AE4AE17" w14:textId="2125E244" w:rsidR="00E63040" w:rsidRPr="00E63040" w:rsidRDefault="0079781F" w:rsidP="004938AC">
      <w:pPr>
        <w:spacing w:after="0" w:line="240" w:lineRule="auto"/>
        <w:jc w:val="both"/>
        <w:rPr>
          <w:rFonts w:ascii="Times New Roman" w:eastAsia="Times New Roman" w:hAnsi="Times New Roman" w:cs="Times New Roman"/>
          <w:i/>
          <w:iCs/>
          <w:kern w:val="0"/>
          <w:sz w:val="24"/>
          <w:szCs w:val="24"/>
          <w14:ligatures w14:val="none"/>
        </w:rPr>
      </w:pPr>
      <w:r w:rsidRPr="00E63040">
        <w:rPr>
          <w:rFonts w:ascii="Times New Roman" w:eastAsia="Times New Roman" w:hAnsi="Times New Roman" w:cs="Times New Roman"/>
          <w:i/>
          <w:iCs/>
          <w:kern w:val="0"/>
          <w:sz w:val="24"/>
          <w:szCs w:val="24"/>
          <w14:ligatures w14:val="none"/>
        </w:rPr>
        <w:t>Data analysis procedures</w:t>
      </w:r>
    </w:p>
    <w:p w14:paraId="31F79D2B" w14:textId="5F92F85C" w:rsidR="00E63040" w:rsidRPr="00E63040" w:rsidRDefault="00E63040" w:rsidP="0079781F">
      <w:pPr>
        <w:spacing w:after="0" w:line="240" w:lineRule="auto"/>
        <w:ind w:firstLine="720"/>
        <w:jc w:val="both"/>
        <w:rPr>
          <w:rFonts w:ascii="Times New Roman" w:eastAsia="Times New Roman" w:hAnsi="Times New Roman" w:cs="Times New Roman"/>
          <w:kern w:val="0"/>
          <w:sz w:val="24"/>
          <w:szCs w:val="24"/>
          <w14:ligatures w14:val="none"/>
        </w:rPr>
      </w:pPr>
      <w:r w:rsidRPr="00E63040">
        <w:rPr>
          <w:rFonts w:ascii="Times New Roman" w:eastAsia="Times New Roman" w:hAnsi="Times New Roman" w:cs="Times New Roman"/>
          <w:kern w:val="0"/>
          <w:sz w:val="24"/>
          <w:szCs w:val="24"/>
          <w14:ligatures w14:val="none"/>
        </w:rPr>
        <w:t xml:space="preserve">Quantitative data were processed using SPSS (v.28). Descriptive statistics (means, standard deviations, and percentages) summarized engagement and completion metrics. To measure the impact of the intervention while controlling for initial baseline variations, Analysis of Covariance (ANCOVA) was performed on post-intervention OSLQ scores, with pre-test scores set as covariates. Independent sample t-tests evaluated differences in module completion and task </w:t>
      </w:r>
      <w:r w:rsidRPr="00E63040">
        <w:rPr>
          <w:rFonts w:ascii="Times New Roman" w:eastAsia="Times New Roman" w:hAnsi="Times New Roman" w:cs="Times New Roman"/>
          <w:kern w:val="0"/>
          <w:sz w:val="24"/>
          <w:szCs w:val="24"/>
          <w14:ligatures w14:val="none"/>
        </w:rPr>
        <w:lastRenderedPageBreak/>
        <w:t>timeliness between groups (</w:t>
      </w:r>
      <w:r w:rsidR="0079781F">
        <w:rPr>
          <w:rFonts w:ascii="Times New Roman" w:eastAsia="Times New Roman" w:hAnsi="Times New Roman" w:cs="Times New Roman"/>
          <w:kern w:val="0"/>
          <w:sz w:val="24"/>
          <w:szCs w:val="24"/>
          <w14:ligatures w14:val="none"/>
        </w:rPr>
        <w:t>α</w:t>
      </w:r>
      <w:r w:rsidRPr="00E63040">
        <w:rPr>
          <w:rFonts w:ascii="Times New Roman" w:eastAsia="Times New Roman" w:hAnsi="Times New Roman" w:cs="Times New Roman"/>
          <w:kern w:val="0"/>
          <w:sz w:val="24"/>
          <w:szCs w:val="24"/>
          <w14:ligatures w14:val="none"/>
        </w:rPr>
        <w:t xml:space="preserve"> = 0.05). Differences in course retention and persistence rates were analyzed using Chi-square (</w:t>
      </w:r>
      <w:r w:rsidR="00FF0BF9">
        <w:rPr>
          <w:rFonts w:ascii="Times New Roman" w:eastAsia="Times New Roman" w:hAnsi="Times New Roman" w:cs="Times New Roman"/>
          <w:kern w:val="0"/>
          <w:sz w:val="24"/>
          <w:szCs w:val="24"/>
          <w14:ligatures w14:val="none"/>
        </w:rPr>
        <w:t>χ</w:t>
      </w:r>
      <w:r w:rsidR="00FF0BF9">
        <w:rPr>
          <w:rFonts w:ascii="Times New Roman" w:eastAsia="Times New Roman" w:hAnsi="Times New Roman" w:cs="Times New Roman"/>
          <w:kern w:val="0"/>
          <w:sz w:val="24"/>
          <w:szCs w:val="24"/>
          <w:vertAlign w:val="superscript"/>
          <w14:ligatures w14:val="none"/>
        </w:rPr>
        <w:t>2</w:t>
      </w:r>
      <w:r w:rsidRPr="00E63040">
        <w:rPr>
          <w:rFonts w:ascii="Times New Roman" w:eastAsia="Times New Roman" w:hAnsi="Times New Roman" w:cs="Times New Roman"/>
          <w:kern w:val="0"/>
          <w:sz w:val="24"/>
          <w:szCs w:val="24"/>
          <w14:ligatures w14:val="none"/>
        </w:rPr>
        <w:t>) tests of independence. Qualitative transcripts from the focus group interviews were subjected to thematic analysis using an inductive coding approach to extract recurring themes related to metacognitive self-awareness, online learning fatigue, and instructional support.</w:t>
      </w:r>
    </w:p>
    <w:p w14:paraId="016A296D" w14:textId="1252DCF4" w:rsidR="00320BD4" w:rsidRPr="00320BD4" w:rsidRDefault="00F43A20" w:rsidP="00320BD4">
      <w:pPr>
        <w:spacing w:before="100" w:beforeAutospacing="1" w:after="100" w:afterAutospacing="1" w:line="240" w:lineRule="auto"/>
        <w:outlineLvl w:val="2"/>
        <w:rPr>
          <w:rFonts w:ascii="Times New Roman" w:eastAsia="Times New Roman" w:hAnsi="Times New Roman" w:cs="Times New Roman"/>
          <w:b/>
          <w:bCs/>
          <w:kern w:val="0"/>
          <w:sz w:val="24"/>
          <w:szCs w:val="24"/>
          <w14:ligatures w14:val="none"/>
        </w:rPr>
      </w:pPr>
      <w:r w:rsidRPr="00320BD4">
        <w:rPr>
          <w:rFonts w:ascii="Times New Roman" w:eastAsia="Times New Roman" w:hAnsi="Times New Roman" w:cs="Times New Roman"/>
          <w:b/>
          <w:bCs/>
          <w:kern w:val="0"/>
          <w:sz w:val="24"/>
          <w:szCs w:val="24"/>
          <w14:ligatures w14:val="none"/>
        </w:rPr>
        <w:t xml:space="preserve">Results and </w:t>
      </w:r>
      <w:r>
        <w:rPr>
          <w:rFonts w:ascii="Times New Roman" w:eastAsia="Times New Roman" w:hAnsi="Times New Roman" w:cs="Times New Roman"/>
          <w:b/>
          <w:bCs/>
          <w:kern w:val="0"/>
          <w:sz w:val="24"/>
          <w:szCs w:val="24"/>
          <w14:ligatures w14:val="none"/>
        </w:rPr>
        <w:t>D</w:t>
      </w:r>
      <w:r w:rsidRPr="00320BD4">
        <w:rPr>
          <w:rFonts w:ascii="Times New Roman" w:eastAsia="Times New Roman" w:hAnsi="Times New Roman" w:cs="Times New Roman"/>
          <w:b/>
          <w:bCs/>
          <w:kern w:val="0"/>
          <w:sz w:val="24"/>
          <w:szCs w:val="24"/>
          <w14:ligatures w14:val="none"/>
        </w:rPr>
        <w:t>iscussion</w:t>
      </w:r>
    </w:p>
    <w:p w14:paraId="60C3FA5C" w14:textId="13877DEC" w:rsidR="00320BD4" w:rsidRPr="00320BD4" w:rsidRDefault="00320BD4" w:rsidP="00DB5495">
      <w:pPr>
        <w:spacing w:after="0" w:line="240" w:lineRule="auto"/>
        <w:rPr>
          <w:rFonts w:ascii="Times New Roman" w:eastAsia="Times New Roman" w:hAnsi="Times New Roman" w:cs="Times New Roman"/>
          <w:i/>
          <w:iCs/>
          <w:kern w:val="0"/>
          <w:sz w:val="24"/>
          <w:szCs w:val="24"/>
          <w14:ligatures w14:val="none"/>
        </w:rPr>
      </w:pPr>
      <w:r w:rsidRPr="00320BD4">
        <w:rPr>
          <w:rFonts w:ascii="Times New Roman" w:eastAsia="Times New Roman" w:hAnsi="Times New Roman" w:cs="Times New Roman"/>
          <w:i/>
          <w:iCs/>
          <w:kern w:val="0"/>
          <w:sz w:val="24"/>
          <w:szCs w:val="24"/>
          <w14:ligatures w14:val="none"/>
        </w:rPr>
        <w:t xml:space="preserve">Impact of SRL </w:t>
      </w:r>
      <w:r w:rsidR="00DB5495" w:rsidRPr="00DB5495">
        <w:rPr>
          <w:rFonts w:ascii="Times New Roman" w:eastAsia="Times New Roman" w:hAnsi="Times New Roman" w:cs="Times New Roman"/>
          <w:i/>
          <w:iCs/>
          <w:kern w:val="0"/>
          <w:sz w:val="24"/>
          <w:szCs w:val="24"/>
          <w14:ligatures w14:val="none"/>
        </w:rPr>
        <w:t>scaffolding on online student engagement</w:t>
      </w:r>
    </w:p>
    <w:p w14:paraId="59688B5D" w14:textId="684E73A9" w:rsidR="00320BD4" w:rsidRPr="00DB5495" w:rsidRDefault="00320BD4" w:rsidP="00DB5495">
      <w:pPr>
        <w:spacing w:after="0" w:line="240" w:lineRule="auto"/>
        <w:ind w:firstLine="720"/>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The quantitative analysis demonstrated a clear positive shift in student engagement metrics for the experimental group. Table 1 outlines the comparison between both cohorts across key performance and engagement indicators.</w:t>
      </w:r>
    </w:p>
    <w:p w14:paraId="24B80FE3" w14:textId="77777777" w:rsidR="00DB5495" w:rsidRPr="00320BD4" w:rsidRDefault="00DB5495" w:rsidP="00DB5495">
      <w:pPr>
        <w:spacing w:after="0" w:line="240" w:lineRule="auto"/>
        <w:rPr>
          <w:rFonts w:ascii="Times New Roman" w:eastAsia="Times New Roman" w:hAnsi="Times New Roman" w:cs="Times New Roman"/>
          <w:kern w:val="0"/>
          <w:sz w:val="24"/>
          <w:szCs w:val="24"/>
          <w14:ligatures w14:val="none"/>
        </w:rPr>
      </w:pPr>
    </w:p>
    <w:p w14:paraId="0827E088" w14:textId="1230B8C0" w:rsidR="006462EE" w:rsidRDefault="00DB5495" w:rsidP="0064171B">
      <w:pPr>
        <w:spacing w:after="0" w:line="240" w:lineRule="auto"/>
        <w:jc w:val="center"/>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Table 1. Comparison of student engagement and academic outcomes</w:t>
      </w:r>
    </w:p>
    <w:tbl>
      <w:tblPr>
        <w:tblStyle w:val="TableGrid"/>
        <w:tblW w:w="969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2041"/>
        <w:gridCol w:w="2409"/>
        <w:gridCol w:w="2127"/>
      </w:tblGrid>
      <w:tr w:rsidR="006462EE" w:rsidRPr="009C3331" w14:paraId="5BD4CD6E" w14:textId="77777777" w:rsidTr="00D3328B">
        <w:tc>
          <w:tcPr>
            <w:tcW w:w="3114" w:type="dxa"/>
            <w:tcBorders>
              <w:top w:val="single" w:sz="4" w:space="0" w:color="auto"/>
              <w:bottom w:val="single" w:sz="4" w:space="0" w:color="auto"/>
            </w:tcBorders>
            <w:vAlign w:val="center"/>
          </w:tcPr>
          <w:p w14:paraId="3B63143A" w14:textId="3F947424"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Indicator</w:t>
            </w:r>
          </w:p>
        </w:tc>
        <w:tc>
          <w:tcPr>
            <w:tcW w:w="2041" w:type="dxa"/>
            <w:tcBorders>
              <w:top w:val="single" w:sz="4" w:space="0" w:color="auto"/>
              <w:bottom w:val="single" w:sz="4" w:space="0" w:color="auto"/>
            </w:tcBorders>
            <w:vAlign w:val="center"/>
          </w:tcPr>
          <w:p w14:paraId="630BCE02" w14:textId="3D387281"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9C3331">
              <w:rPr>
                <w:rFonts w:ascii="Times New Roman" w:eastAsia="Times New Roman" w:hAnsi="Times New Roman" w:cs="Times New Roman"/>
                <w:kern w:val="0"/>
                <w:sz w:val="24"/>
                <w:szCs w:val="24"/>
                <w14:ligatures w14:val="none"/>
              </w:rPr>
              <w:t>Control group (n=70)</w:t>
            </w:r>
          </w:p>
        </w:tc>
        <w:tc>
          <w:tcPr>
            <w:tcW w:w="2409" w:type="dxa"/>
            <w:tcBorders>
              <w:top w:val="single" w:sz="4" w:space="0" w:color="auto"/>
              <w:bottom w:val="single" w:sz="4" w:space="0" w:color="auto"/>
            </w:tcBorders>
            <w:vAlign w:val="center"/>
          </w:tcPr>
          <w:p w14:paraId="56EB13DE" w14:textId="398D8825"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9C3331">
              <w:rPr>
                <w:rFonts w:ascii="Times New Roman" w:eastAsia="Times New Roman" w:hAnsi="Times New Roman" w:cs="Times New Roman"/>
                <w:kern w:val="0"/>
                <w:sz w:val="24"/>
                <w:szCs w:val="24"/>
                <w14:ligatures w14:val="none"/>
              </w:rPr>
              <w:t>Experimental group (n=72)</w:t>
            </w:r>
          </w:p>
        </w:tc>
        <w:tc>
          <w:tcPr>
            <w:tcW w:w="2127" w:type="dxa"/>
            <w:tcBorders>
              <w:top w:val="single" w:sz="4" w:space="0" w:color="auto"/>
              <w:bottom w:val="single" w:sz="4" w:space="0" w:color="auto"/>
            </w:tcBorders>
            <w:vAlign w:val="center"/>
          </w:tcPr>
          <w:p w14:paraId="13661021" w14:textId="05ACBFA6"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p-value</w:t>
            </w:r>
          </w:p>
        </w:tc>
      </w:tr>
      <w:tr w:rsidR="006462EE" w:rsidRPr="009C3331" w14:paraId="7A38251D" w14:textId="77777777" w:rsidTr="00D3328B">
        <w:tc>
          <w:tcPr>
            <w:tcW w:w="3114" w:type="dxa"/>
            <w:tcBorders>
              <w:top w:val="single" w:sz="4" w:space="0" w:color="auto"/>
            </w:tcBorders>
            <w:vAlign w:val="center"/>
          </w:tcPr>
          <w:p w14:paraId="174DE17F" w14:textId="4F40EC5D"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9C3331">
              <w:rPr>
                <w:rFonts w:ascii="Times New Roman" w:eastAsia="Times New Roman" w:hAnsi="Times New Roman" w:cs="Times New Roman"/>
                <w:kern w:val="0"/>
                <w:sz w:val="24"/>
                <w:szCs w:val="24"/>
                <w14:ligatures w14:val="none"/>
              </w:rPr>
              <w:t>Module completion rate (%)</w:t>
            </w:r>
          </w:p>
        </w:tc>
        <w:tc>
          <w:tcPr>
            <w:tcW w:w="2041" w:type="dxa"/>
            <w:tcBorders>
              <w:top w:val="single" w:sz="4" w:space="0" w:color="auto"/>
            </w:tcBorders>
            <w:vAlign w:val="center"/>
          </w:tcPr>
          <w:p w14:paraId="21D07BD6" w14:textId="08B89A4F"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71.4%</w:t>
            </w:r>
          </w:p>
        </w:tc>
        <w:tc>
          <w:tcPr>
            <w:tcW w:w="2409" w:type="dxa"/>
            <w:tcBorders>
              <w:top w:val="single" w:sz="4" w:space="0" w:color="auto"/>
            </w:tcBorders>
            <w:vAlign w:val="center"/>
          </w:tcPr>
          <w:p w14:paraId="562B8B25" w14:textId="2D04791B"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88.6%</w:t>
            </w:r>
          </w:p>
        </w:tc>
        <w:tc>
          <w:tcPr>
            <w:tcW w:w="2127" w:type="dxa"/>
            <w:tcBorders>
              <w:top w:val="single" w:sz="4" w:space="0" w:color="auto"/>
            </w:tcBorders>
            <w:vAlign w:val="center"/>
          </w:tcPr>
          <w:p w14:paraId="5F85F271" w14:textId="1FA6C153"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&lt; 0.01</w:t>
            </w:r>
          </w:p>
        </w:tc>
      </w:tr>
      <w:tr w:rsidR="006462EE" w:rsidRPr="009C3331" w14:paraId="0542E823" w14:textId="77777777" w:rsidTr="00D3328B">
        <w:tc>
          <w:tcPr>
            <w:tcW w:w="3114" w:type="dxa"/>
            <w:vAlign w:val="center"/>
          </w:tcPr>
          <w:p w14:paraId="53321EBD" w14:textId="5B534FB0"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9C3331">
              <w:rPr>
                <w:rFonts w:ascii="Times New Roman" w:eastAsia="Times New Roman" w:hAnsi="Times New Roman" w:cs="Times New Roman"/>
                <w:kern w:val="0"/>
                <w:sz w:val="24"/>
                <w:szCs w:val="24"/>
                <w14:ligatures w14:val="none"/>
              </w:rPr>
              <w:t>On-time assignment submission (%)</w:t>
            </w:r>
          </w:p>
        </w:tc>
        <w:tc>
          <w:tcPr>
            <w:tcW w:w="2041" w:type="dxa"/>
            <w:vAlign w:val="center"/>
          </w:tcPr>
          <w:p w14:paraId="44D22754" w14:textId="2624F82B"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68.2%</w:t>
            </w:r>
          </w:p>
        </w:tc>
        <w:tc>
          <w:tcPr>
            <w:tcW w:w="2409" w:type="dxa"/>
            <w:vAlign w:val="center"/>
          </w:tcPr>
          <w:p w14:paraId="4D3BA638" w14:textId="73514C4E"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85.1%</w:t>
            </w:r>
          </w:p>
        </w:tc>
        <w:tc>
          <w:tcPr>
            <w:tcW w:w="2127" w:type="dxa"/>
            <w:vAlign w:val="center"/>
          </w:tcPr>
          <w:p w14:paraId="046490FB" w14:textId="10E93F81"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&lt; 0.01</w:t>
            </w:r>
          </w:p>
        </w:tc>
      </w:tr>
      <w:tr w:rsidR="006462EE" w:rsidRPr="009C3331" w14:paraId="383E6805" w14:textId="77777777" w:rsidTr="00D3328B">
        <w:tc>
          <w:tcPr>
            <w:tcW w:w="3114" w:type="dxa"/>
            <w:vAlign w:val="center"/>
          </w:tcPr>
          <w:p w14:paraId="17F0C9C8" w14:textId="5F35F261"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9C3331">
              <w:rPr>
                <w:rFonts w:ascii="Times New Roman" w:eastAsia="Times New Roman" w:hAnsi="Times New Roman" w:cs="Times New Roman"/>
                <w:kern w:val="0"/>
                <w:sz w:val="24"/>
                <w:szCs w:val="24"/>
                <w14:ligatures w14:val="none"/>
              </w:rPr>
              <w:t>Post-intervention oslq score (1-5)</w:t>
            </w:r>
          </w:p>
        </w:tc>
        <w:tc>
          <w:tcPr>
            <w:tcW w:w="2041" w:type="dxa"/>
            <w:vAlign w:val="center"/>
          </w:tcPr>
          <w:p w14:paraId="0B79BD80" w14:textId="33A06E1F"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3.24</w:t>
            </w:r>
          </w:p>
        </w:tc>
        <w:tc>
          <w:tcPr>
            <w:tcW w:w="2409" w:type="dxa"/>
            <w:vAlign w:val="center"/>
          </w:tcPr>
          <w:p w14:paraId="586781AF" w14:textId="2CAD70E8"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4.12</w:t>
            </w:r>
          </w:p>
        </w:tc>
        <w:tc>
          <w:tcPr>
            <w:tcW w:w="2127" w:type="dxa"/>
            <w:vAlign w:val="center"/>
          </w:tcPr>
          <w:p w14:paraId="15E6FA88" w14:textId="14D13F5D"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&lt; 0.001</w:t>
            </w:r>
          </w:p>
        </w:tc>
      </w:tr>
      <w:tr w:rsidR="006462EE" w:rsidRPr="009C3331" w14:paraId="443022C2" w14:textId="77777777" w:rsidTr="00D3328B">
        <w:tc>
          <w:tcPr>
            <w:tcW w:w="3114" w:type="dxa"/>
            <w:vAlign w:val="center"/>
          </w:tcPr>
          <w:p w14:paraId="1FDD6958" w14:textId="3A788669"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9C3331">
              <w:rPr>
                <w:rFonts w:ascii="Times New Roman" w:eastAsia="Times New Roman" w:hAnsi="Times New Roman" w:cs="Times New Roman"/>
                <w:kern w:val="0"/>
                <w:sz w:val="24"/>
                <w:szCs w:val="24"/>
                <w14:ligatures w14:val="none"/>
              </w:rPr>
              <w:t>Course retention/persistence rate (%)</w:t>
            </w:r>
          </w:p>
        </w:tc>
        <w:tc>
          <w:tcPr>
            <w:tcW w:w="2041" w:type="dxa"/>
            <w:vAlign w:val="center"/>
          </w:tcPr>
          <w:p w14:paraId="0C1F090C" w14:textId="3CC949C1"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75.7%</w:t>
            </w:r>
          </w:p>
        </w:tc>
        <w:tc>
          <w:tcPr>
            <w:tcW w:w="2409" w:type="dxa"/>
            <w:vAlign w:val="center"/>
          </w:tcPr>
          <w:p w14:paraId="1DAACE0E" w14:textId="111F4244"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91.6%</w:t>
            </w:r>
          </w:p>
        </w:tc>
        <w:tc>
          <w:tcPr>
            <w:tcW w:w="2127" w:type="dxa"/>
            <w:vAlign w:val="center"/>
          </w:tcPr>
          <w:p w14:paraId="3CAFA782" w14:textId="773DD350" w:rsidR="006462EE" w:rsidRPr="009C3331" w:rsidRDefault="006462EE" w:rsidP="009C3331">
            <w:pPr>
              <w:spacing w:before="100" w:beforeAutospacing="1" w:after="100" w:afterAutospacing="1"/>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&lt; 0.01</w:t>
            </w:r>
          </w:p>
        </w:tc>
      </w:tr>
    </w:tbl>
    <w:p w14:paraId="204016F8" w14:textId="77777777" w:rsidR="00A72D27" w:rsidRDefault="00A72D27" w:rsidP="008F1D39">
      <w:pPr>
        <w:spacing w:after="0" w:line="240" w:lineRule="auto"/>
        <w:ind w:firstLine="709"/>
        <w:jc w:val="both"/>
        <w:rPr>
          <w:rFonts w:ascii="Times New Roman" w:eastAsia="Times New Roman" w:hAnsi="Times New Roman" w:cs="Times New Roman"/>
          <w:kern w:val="0"/>
          <w:sz w:val="24"/>
          <w:szCs w:val="24"/>
          <w14:ligatures w14:val="none"/>
        </w:rPr>
      </w:pPr>
    </w:p>
    <w:p w14:paraId="6E3FE27B" w14:textId="7C636A97" w:rsidR="008F1D39" w:rsidRPr="00A72D27" w:rsidRDefault="00320BD4" w:rsidP="00A72D27">
      <w:pPr>
        <w:spacing w:after="0" w:line="240" w:lineRule="auto"/>
        <w:ind w:firstLine="709"/>
        <w:jc w:val="both"/>
        <w:rPr>
          <w:rFonts w:ascii="Times New Roman" w:hAnsi="Times New Roman" w:cs="Times New Roman"/>
          <w:sz w:val="24"/>
          <w:szCs w:val="24"/>
        </w:rPr>
      </w:pPr>
      <w:r w:rsidRPr="00A72D27">
        <w:rPr>
          <w:rFonts w:ascii="Times New Roman" w:eastAsia="Times New Roman" w:hAnsi="Times New Roman" w:cs="Times New Roman"/>
          <w:kern w:val="0"/>
          <w:sz w:val="24"/>
          <w:szCs w:val="24"/>
          <w14:ligatures w14:val="none"/>
        </w:rPr>
        <w:t>As shown in Table 1, students in the scaffolded experimental group achieved an 88.6% module completion rate compared to 71.4% in the control group. Furthermore, course persistence increased substantially from 75.7% to 91.6%. The explicit integration of weekly goal-setting prompts prevented the gradual drop in participation typically observed in asynchronous courses after Week 4.</w:t>
      </w:r>
      <w:r w:rsidR="00A72D27" w:rsidRPr="00A72D27">
        <w:rPr>
          <w:rFonts w:ascii="Times New Roman" w:eastAsia="Times New Roman" w:hAnsi="Times New Roman" w:cs="Times New Roman"/>
          <w:kern w:val="0"/>
          <w:sz w:val="24"/>
          <w:szCs w:val="24"/>
          <w14:ligatures w14:val="none"/>
        </w:rPr>
        <w:t xml:space="preserve"> </w:t>
      </w:r>
      <w:r w:rsidR="008F1D39" w:rsidRPr="00A72D27">
        <w:rPr>
          <w:rFonts w:ascii="Times New Roman" w:hAnsi="Times New Roman" w:cs="Times New Roman"/>
          <w:sz w:val="24"/>
          <w:szCs w:val="24"/>
        </w:rPr>
        <w:t>The quantitative findings detailed in Table 1 demonstrate a profound positive transformation across all primary behavioral engagement and academic performance metrics following the systematic integration of the triadic self-regulated learning (SRL) scaffolding framework. The experimental cohort (</w:t>
      </w:r>
      <w:r w:rsidR="008F1D39" w:rsidRPr="00A72D27">
        <w:rPr>
          <w:rStyle w:val="math-inline"/>
          <w:rFonts w:ascii="Times New Roman" w:hAnsi="Times New Roman" w:cs="Times New Roman"/>
          <w:sz w:val="24"/>
          <w:szCs w:val="24"/>
        </w:rPr>
        <w:t>n = 72</w:t>
      </w:r>
      <w:r w:rsidR="008F1D39" w:rsidRPr="00A72D27">
        <w:rPr>
          <w:rFonts w:ascii="Times New Roman" w:hAnsi="Times New Roman" w:cs="Times New Roman"/>
          <w:sz w:val="24"/>
          <w:szCs w:val="24"/>
        </w:rPr>
        <w:t>) achieved an 88.6% module completion rate compared to 71.4% in the control group (</w:t>
      </w:r>
      <w:r w:rsidR="008F1D39" w:rsidRPr="00A72D27">
        <w:rPr>
          <w:rStyle w:val="math-inline"/>
          <w:rFonts w:ascii="Times New Roman" w:hAnsi="Times New Roman" w:cs="Times New Roman"/>
          <w:sz w:val="24"/>
          <w:szCs w:val="24"/>
        </w:rPr>
        <w:t>n = 70</w:t>
      </w:r>
      <w:r w:rsidR="008F1D39" w:rsidRPr="00A72D27">
        <w:rPr>
          <w:rFonts w:ascii="Times New Roman" w:hAnsi="Times New Roman" w:cs="Times New Roman"/>
          <w:sz w:val="24"/>
          <w:szCs w:val="24"/>
        </w:rPr>
        <w:t xml:space="preserve">, </w:t>
      </w:r>
      <w:r w:rsidR="008F1D39" w:rsidRPr="00A72D27">
        <w:rPr>
          <w:rStyle w:val="math-inline"/>
          <w:rFonts w:ascii="Times New Roman" w:hAnsi="Times New Roman" w:cs="Times New Roman"/>
          <w:sz w:val="24"/>
          <w:szCs w:val="24"/>
        </w:rPr>
        <w:t>p &lt; 0.01</w:t>
      </w:r>
      <w:r w:rsidR="008F1D39" w:rsidRPr="00A72D27">
        <w:rPr>
          <w:rFonts w:ascii="Times New Roman" w:hAnsi="Times New Roman" w:cs="Times New Roman"/>
          <w:sz w:val="24"/>
          <w:szCs w:val="24"/>
        </w:rPr>
        <w:t>), alongside a substantial increase in on-time assignment submissions from 68.2% to 85.1% (</w:t>
      </w:r>
      <w:r w:rsidR="008F1D39" w:rsidRPr="00A72D27">
        <w:rPr>
          <w:rStyle w:val="math-inline"/>
          <w:rFonts w:ascii="Times New Roman" w:hAnsi="Times New Roman" w:cs="Times New Roman"/>
          <w:sz w:val="24"/>
          <w:szCs w:val="24"/>
        </w:rPr>
        <w:t>p &lt; 0.01</w:t>
      </w:r>
      <w:r w:rsidR="008F1D39" w:rsidRPr="00A72D27">
        <w:rPr>
          <w:rFonts w:ascii="Times New Roman" w:hAnsi="Times New Roman" w:cs="Times New Roman"/>
          <w:sz w:val="24"/>
          <w:szCs w:val="24"/>
        </w:rPr>
        <w:t xml:space="preserve">). This marked improvement in task execution reflects a fundamental enhancement in students' behavioral engagement and operational time-management strategies when provided with structured, low-stakes procedural support  </w:t>
      </w:r>
      <w:r w:rsidR="005820DD" w:rsidRPr="00A72D27">
        <w:rPr>
          <w:rFonts w:ascii="Times New Roman" w:hAnsi="Times New Roman" w:cs="Times New Roman"/>
          <w:sz w:val="24"/>
          <w:szCs w:val="24"/>
        </w:rPr>
        <w:fldChar w:fldCharType="begin"/>
      </w:r>
      <w:r w:rsidR="00B7239F">
        <w:rPr>
          <w:rFonts w:ascii="Times New Roman" w:hAnsi="Times New Roman" w:cs="Times New Roman"/>
          <w:sz w:val="24"/>
          <w:szCs w:val="24"/>
        </w:rPr>
        <w:instrText xml:space="preserve"> ADDIN ZOTERO_ITEM CSL_CITATION {"citationID":"rn1DrTXQ","properties":{"formattedCitation":"(Aloka et al., 2023)","plainCitation":"(Aloka et al., 2023)","noteIndex":0},"citationItems":[{"id":"NaBsQCiw/wcr8PAJe","uris":["http://zotero.org/users/local/DMv4uL3N/items/7ZQYZZC4"],"itemData":{"id":17345,"type":"chapter","abstract":"This chapter analyzes self-regulated learning and student success, engagement, and retention in online learning contexts. The conceptual literature review was adopted as the research methodology. The search engines such as Educational Resources Information Center (ERIC), Google Scholar, PsychINFO, Science Direct, Academic Search Elite/EBSCO, Blackwell Synergy, and JSTOR were used to obtain secondary data. The results from reviewed literature indicate that self-regulation was effective in enhancing student success, engagement, and retention among students in online learning. Therefore, the chapter recommends that instructors should train students on scaffolding as a classroom technique which would help to strengthen self-regulation. The study is quite significant because understanding self-regulation is very important in the development of these achievement capabilities for students.","container-title":"Advances in Educational Technologies and Instructional Design","DOI":"10.4018/978-1-6684-9072-3.ch012","ISBN":"978-1-6684-9072-3","page":"238-255","publisher":"IGI Global","source":"DOI.org (Crossref)","title":"Self-Regulated Learning and Student Success, Retention, and Engagement in Online Courses:","title-short":"Self-Regulated Learning and Student Success, Retention, and Engagement in Online Courses","URL":"https://services.igi-global.com/resolvedoi/resolve.aspx?doi=10.4018/978-1-6684-9072-3.ch012","editor":[{"family":"Keengwe","given":"Jared"}],"author":[{"family":"Aloka","given":"Peter J. O."},{"family":"Ooko","given":"Mary"},{"family":"Ooko","given":"Pamela Atieno"},{"family":"Onyango","given":"Pamela"}],"accessed":{"date-parts":[["2026",9,23]]},"issued":{"date-parts":[["2023",8,18]]}}}],"schema":"https://github.com/citation-style-language/schema/raw/master/csl-citation.json"} </w:instrText>
      </w:r>
      <w:r w:rsidR="005820DD" w:rsidRPr="00A72D27">
        <w:rPr>
          <w:rFonts w:ascii="Times New Roman" w:hAnsi="Times New Roman" w:cs="Times New Roman"/>
          <w:sz w:val="24"/>
          <w:szCs w:val="24"/>
        </w:rPr>
        <w:fldChar w:fldCharType="separate"/>
      </w:r>
      <w:r w:rsidR="00B7239F" w:rsidRPr="00B7239F">
        <w:rPr>
          <w:rFonts w:ascii="Times New Roman" w:hAnsi="Times New Roman" w:cs="Times New Roman"/>
          <w:sz w:val="24"/>
        </w:rPr>
        <w:t>(Aloka et al., 2023)</w:t>
      </w:r>
      <w:r w:rsidR="005820DD" w:rsidRPr="00A72D27">
        <w:rPr>
          <w:rFonts w:ascii="Times New Roman" w:hAnsi="Times New Roman" w:cs="Times New Roman"/>
          <w:sz w:val="24"/>
          <w:szCs w:val="24"/>
        </w:rPr>
        <w:fldChar w:fldCharType="end"/>
      </w:r>
      <w:r w:rsidR="005820DD" w:rsidRPr="00A72D27">
        <w:rPr>
          <w:rFonts w:ascii="Times New Roman" w:hAnsi="Times New Roman" w:cs="Times New Roman"/>
          <w:sz w:val="24"/>
          <w:szCs w:val="24"/>
        </w:rPr>
        <w:t xml:space="preserve">. </w:t>
      </w:r>
      <w:r w:rsidR="008F1D39" w:rsidRPr="00A72D27">
        <w:rPr>
          <w:rFonts w:ascii="Times New Roman" w:hAnsi="Times New Roman" w:cs="Times New Roman"/>
          <w:sz w:val="24"/>
          <w:szCs w:val="24"/>
        </w:rPr>
        <w:t xml:space="preserve">In typical asynchronous courses, students often experience cognitive fatigue when attempting to organize unanchored learning tasks independently. By converting passive course content into actionable, step-by-step weekly milestones, the triadic scaffolding framework effectively minimized cognitive friction and executive function load, thereby allowing distance learners to navigate complex online coursework with heightened efficiency, discipline, and temporal consistency </w:t>
      </w:r>
      <w:r w:rsidR="005820DD" w:rsidRPr="00A72D27">
        <w:rPr>
          <w:rFonts w:ascii="Times New Roman" w:hAnsi="Times New Roman" w:cs="Times New Roman"/>
          <w:sz w:val="24"/>
          <w:szCs w:val="24"/>
        </w:rPr>
        <w:fldChar w:fldCharType="begin"/>
      </w:r>
      <w:r w:rsidR="00B7239F">
        <w:rPr>
          <w:rFonts w:ascii="Times New Roman" w:hAnsi="Times New Roman" w:cs="Times New Roman"/>
          <w:sz w:val="24"/>
          <w:szCs w:val="24"/>
        </w:rPr>
        <w:instrText xml:space="preserve"> ADDIN ZOTERO_ITEM CSL_CITATION {"citationID":"oxdavOWR","properties":{"formattedCitation":"(Song &amp; Kim, 2021)","plainCitation":"(Song &amp; Kim, 2021)","noteIndex":0},"citationItems":[{"id":"NaBsQCiw/S6szK8bP","uris":["http://zotero.org/users/local/DMv4uL3N/items/BPNK56EF"],"itemData":{"id":17344,"type":"article-journal","container-title":"Journal of Research on Technology in Education","DOI":"10.1080/15391523.2020.1767525","ISSN":"1539-1523, 1945-0818","issue":"3","journalAbbreviation":"Journal of Research on Technology in Education","language":"en","page":"249-263","source":"DOI.org (Crossref)","title":"Effects of self-regulation scaffolding on online participation and learning outcomes","volume":"53","author":[{"family":"Song","given":"Donggil"},{"family":"Kim","given":"Dongho"}],"issued":{"date-parts":[["2021",7,3]]}}}],"schema":"https://github.com/citation-style-language/schema/raw/master/csl-citation.json"} </w:instrText>
      </w:r>
      <w:r w:rsidR="005820DD" w:rsidRPr="00A72D27">
        <w:rPr>
          <w:rFonts w:ascii="Times New Roman" w:hAnsi="Times New Roman" w:cs="Times New Roman"/>
          <w:sz w:val="24"/>
          <w:szCs w:val="24"/>
        </w:rPr>
        <w:fldChar w:fldCharType="separate"/>
      </w:r>
      <w:r w:rsidR="00B7239F" w:rsidRPr="00B7239F">
        <w:rPr>
          <w:rFonts w:ascii="Times New Roman" w:hAnsi="Times New Roman" w:cs="Times New Roman"/>
          <w:sz w:val="24"/>
        </w:rPr>
        <w:t>(Song &amp; Kim, 2021)</w:t>
      </w:r>
      <w:r w:rsidR="005820DD" w:rsidRPr="00A72D27">
        <w:rPr>
          <w:rFonts w:ascii="Times New Roman" w:hAnsi="Times New Roman" w:cs="Times New Roman"/>
          <w:sz w:val="24"/>
          <w:szCs w:val="24"/>
        </w:rPr>
        <w:fldChar w:fldCharType="end"/>
      </w:r>
      <w:r w:rsidR="005820DD" w:rsidRPr="00A72D27">
        <w:rPr>
          <w:rFonts w:ascii="Times New Roman" w:hAnsi="Times New Roman" w:cs="Times New Roman"/>
          <w:sz w:val="24"/>
          <w:szCs w:val="24"/>
        </w:rPr>
        <w:t xml:space="preserve">. </w:t>
      </w:r>
    </w:p>
    <w:p w14:paraId="732D8BF9" w14:textId="4F03C702" w:rsidR="008F1D39" w:rsidRDefault="008F1D39" w:rsidP="008F1D39">
      <w:pPr>
        <w:pStyle w:val="NormalWeb"/>
        <w:spacing w:before="0" w:beforeAutospacing="0" w:after="0" w:afterAutospacing="0"/>
        <w:ind w:firstLine="709"/>
        <w:jc w:val="both"/>
      </w:pPr>
      <w:r w:rsidRPr="00A72D27">
        <w:t>Beyond immediate task compliance, the intervention yielded a dramatic increase in overall course retention, elevating the academic persistence rate from 75.7% in the control group to 91.6% in the experimental group (</w:t>
      </w:r>
      <w:r w:rsidRPr="00A72D27">
        <w:rPr>
          <w:rStyle w:val="math-inline"/>
        </w:rPr>
        <w:t>p &lt; 0.01</w:t>
      </w:r>
      <w:r w:rsidRPr="00A72D27">
        <w:t xml:space="preserve">). In distance higher education, student participation typically </w:t>
      </w:r>
      <w:r w:rsidRPr="00A72D27">
        <w:lastRenderedPageBreak/>
        <w:t xml:space="preserve">exhibits a severe structural decline around Week 4—a well-documented inflection point where initial novelty wanes, academic workload accumulates, and self-directed study demands intensify </w:t>
      </w:r>
      <w:r w:rsidR="00912554" w:rsidRPr="00A72D27">
        <w:fldChar w:fldCharType="begin"/>
      </w:r>
      <w:r w:rsidR="00B7239F">
        <w:instrText xml:space="preserve"> ADDIN ZOTERO_ITEM CSL_CITATION {"citationID":"kifZssba","properties":{"formattedCitation":"(Liberty &amp; DeSpain, 2020)","plainCitation":"(Liberty &amp; DeSpain, 2020)","noteIndex":0},"citationItems":[{"id":"NaBsQCiw/LOf4vjdi","uris":["http://zotero.org/users/local/DMv4uL3N/items/GFKDA7UG"],"itemData":{"id":17346,"type":"chapter","abstract":"Methods of online instruction are becoming a staple in academia, and the rapid growth of online learning has prompted a need to incorporate self-regulated learning strategies. There are three phases of self-regulated learning that students employ to initiate plans to complete a task or accomplish a goal. The performance phase describes the processes students use while working towards the completion of a task or goal. In the self-reflection phase, students reflect on their progress towards the task or goal, or the results if they have completed the task. During the final stage, students use that information to inform their future decisions about completing the task or goal or begin a new one.","container-title":"Advances in Educational Technologies and Instructional Design","DOI":"10.4018/978-1-7998-2132-8.ch004","ISBN":"978-1-7998-2132-8","page":"48-71","publisher":"IGI Global","source":"DOI.org (Crossref)","title":"Self-Regulated Learners: Strategies That Promote Self-Regulated Learning in Online Environments","title-short":"Self-Regulated Learners","URL":"http://services.igi-global.com/resolvedoi/resolve.aspx?doi=10.4018/978-1-7998-2132-8.ch004","editor":[{"family":"Thornburg","given":"Amy W."},{"family":"Abernathy","given":"Dixie F."},{"family":"Ceglie","given":"Robert J."}],"author":[{"family":"Liberty","given":"Lisa M."},{"family":"DeSpain","given":"Stephanie N."}],"accessed":{"date-parts":[["2026",9,23]]},"issued":{"date-parts":[["2020"]]}}}],"schema":"https://github.com/citation-style-language/schema/raw/master/csl-citation.json"} </w:instrText>
      </w:r>
      <w:r w:rsidR="00912554" w:rsidRPr="00A72D27">
        <w:fldChar w:fldCharType="separate"/>
      </w:r>
      <w:r w:rsidR="00B7239F" w:rsidRPr="00B7239F">
        <w:t>(Liberty &amp; DeSpain, 2020)</w:t>
      </w:r>
      <w:r w:rsidR="00912554" w:rsidRPr="00A72D27">
        <w:fldChar w:fldCharType="end"/>
      </w:r>
      <w:r w:rsidR="00912554" w:rsidRPr="00A72D27">
        <w:t xml:space="preserve">. </w:t>
      </w:r>
      <w:r w:rsidRPr="00A72D27">
        <w:t xml:space="preserve">The explicit integration of forethought goal-setting templates served as a vital cognitive anchor that effectively buffered against this common mid-semester participation drop-off. By requiring learners to establish explicit study windows and identify potential environmental distractors early in each module, the scaffolding mechanism helped distance learners build resilient study habits, maintain continuous behavioral momentum, and significantly mitigate the psychological toll of transactional distance that frequently drives course attrition (Song &amp; Kim, 2021; </w:t>
      </w:r>
      <w:r w:rsidR="00912554" w:rsidRPr="00A72D27">
        <w:fldChar w:fldCharType="begin"/>
      </w:r>
      <w:r w:rsidR="00B7239F">
        <w:instrText xml:space="preserve"> ADDIN ZOTERO_ITEM CSL_CITATION {"citationID":"rPHAmDWm","properties":{"formattedCitation":"(Pacitti et al., 2024)","plainCitation":"(Pacitti et al., 2024)","noteIndex":0},"citationItems":[{"id":"NaBsQCiw/pZJVJZH5","uris":["http://zotero.org/users/local/DMv4uL3N/items/UX3GANF8"],"itemData":{"id":17347,"type":"article-journal","abstract":"Self-regulated learners achieve academic success by employing specific cognitive, metacognitive, behavioural, and resource management strategies. In fully online learning environments, these strategies are critical but are often challenging for first-year undergraduates to develop. This study presents a novel approach to supporting undergraduates' development of Self-Regulated Learning (SRL) skills in a fully online first-year psychology course. Seven SRL activities were embedded as micro-assessments within the summative assessment structure. Qualitative and quantitative data from students across multiple teaching periods were analysed. Results show that embedding content-specific SRL activities improved academic performance, increased engagement, and built a stronger online learning community. The impact of deliberately integrating SRL principles into the course design and assessment structure on student Self-Regulated Learning Online (SRL-O) questionnaire scores at the start and conclusion of the course will also be discussed. Overall, this study demonstrates that purposeful integration of SRL principles into course design and assessment can improve academic outcomes and foster positive learning experiences for first-year undergraduate students who are studying online.","container-title":"ASCILITE Publications","DOI":"10.14742/apubs.2024.1127","ISSN":"2653-665X","journalAbbreviation":"APUBS","license":"https://creativecommons.org/licenses/by/4.0","page":"380-385","source":"DOI.org (Crossref)","title":"Embedded online self-regulated learning activities improve student experience and learning outcomes","author":[{"family":"Pacitti","given":"Helena"},{"family":"Dracup","given":"Jamie"},{"family":"Lodge","given":"Jason"},{"family":"Richmond","given":"Jenny"}],"issued":{"date-parts":[["2024",11,23]]}}}],"schema":"https://github.com/citation-style-language/schema/raw/master/csl-citation.json"} </w:instrText>
      </w:r>
      <w:r w:rsidR="00912554" w:rsidRPr="00A72D27">
        <w:fldChar w:fldCharType="separate"/>
      </w:r>
      <w:r w:rsidR="00B7239F" w:rsidRPr="00B7239F">
        <w:t>(Pacitti et al., 2024)</w:t>
      </w:r>
      <w:r w:rsidR="00912554" w:rsidRPr="00A72D27">
        <w:fldChar w:fldCharType="end"/>
      </w:r>
      <w:r w:rsidR="00912554" w:rsidRPr="00A72D27">
        <w:t>.</w:t>
      </w:r>
      <w:r w:rsidR="0066640A">
        <w:t xml:space="preserve"> </w:t>
      </w:r>
      <w:r>
        <w:t>The substantial growth observed in post-intervention Online Self-Regulated Learning Questionnaire (OSLQ) scores—rising from a control baseline mean of 3.24 to 4.12 in the experimental cohort (</w:t>
      </w:r>
      <w:r>
        <w:rPr>
          <w:rStyle w:val="math-inline"/>
        </w:rPr>
        <w:t>p &lt; 0.001</w:t>
      </w:r>
      <w:r>
        <w:t xml:space="preserve">)—confirms a structural, qualitative shift in students' underlying metacognitive capabilities. Rather than merely enforcing external compliance through strict administrative deadlines, the combination of weekly goal-setting and reflective prompts trained students to actively monitor, evaluate, and adjust their internal learning strategies </w:t>
      </w:r>
      <w:r w:rsidR="0066640A">
        <w:fldChar w:fldCharType="begin"/>
      </w:r>
      <w:r w:rsidR="00B7239F">
        <w:instrText xml:space="preserve"> ADDIN ZOTERO_ITEM CSL_CITATION {"citationID":"Usc46Z0i","properties":{"unsorted":false,"formattedCitation":"(Dekker et al., 2024)","plainCitation":"(Dekker et al., 2024)","noteIndex":0},"citationItems":[{"id":15954,"uris":["http://zotero.org/users/local/vwAKDnao/items/EPYIQNET"],"itemData":{"id":15954,"type":"article-journal","container-title":"Journal of Research on Educational Effectiveness","DOI":"10.1080/19345747.2023.2231440","ISSN":"1934-5747, 1934-5739","issue":"3","journalAbbreviation":"Journal of Research on Educational Effectiveness","language":"en","page":"561-589","source":"DOI.org (Crossref)","title":"Reflective Goal-setting Improves Academic Performance in Teacher and Business Education: A Large-scale Field Experiment","title-short":"Reflective Goal-setting Improves Academic Performance in Teacher and Business Education","URL":"https://www.tandfonline.com/doi/full/10.1080/19345747.2023.2231440","volume":"17","author":[{"family":"Dekker","given":"Izaak"},{"family":"Schippers","given":"Michaéla"},{"family":"Van Schooten","given":"Erik"}],"accessed":{"date-parts":[["2026",9,26]]},"issued":{"date-parts":[["2024",7,2]]}}}],"schema":"https://github.com/citation-style-language/schema/raw/master/csl-citation.json"} </w:instrText>
      </w:r>
      <w:r w:rsidR="0066640A">
        <w:fldChar w:fldCharType="separate"/>
      </w:r>
      <w:r w:rsidR="00B7239F" w:rsidRPr="00B7239F">
        <w:t>(Dekker et al., 2024)</w:t>
      </w:r>
      <w:r w:rsidR="0066640A">
        <w:fldChar w:fldCharType="end"/>
      </w:r>
      <w:r w:rsidR="0066640A">
        <w:t xml:space="preserve">; </w:t>
      </w:r>
      <w:r w:rsidR="0066640A">
        <w:fldChar w:fldCharType="begin"/>
      </w:r>
      <w:r w:rsidR="00B7239F">
        <w:instrText xml:space="preserve"> ADDIN ZOTERO_ITEM CSL_CITATION {"citationID":"0xoJsqOR","properties":{"unsorted":false,"formattedCitation":"(Wolters et al., 2025)","plainCitation":"(Wolters et al., 2025)","noteIndex":0},"citationItems":[{"id":15955,"uris":["http://zotero.org/users/local/vwAKDnao/items/DT2HGDX8"],"itemData":{"id":15955,"type":"article-journal","abstract":"Abstract\n            Personal organization, productivity, and efficient use of one’s time represents one of the most ubiquitous and popular subjects within the self-help media marketed to general audiences. Consistent with this view, researchers have established that increased or more effective time management is predictive of improved well-being and performance within student populations. Within the framework of self-regulated learning, students’ achievement motivation stands out as a critical factor viewed as essential to understanding their time management. Nevertheless, a robust understanding of the theoretical relations that link motivation and time management thus far has escaped thorough scrutiny. Most notably, a dedicated consideration of the research linking motivation and time management has not yet been undertaken. Our overall purpose was to address this absence by synthesizing theoretical perspectives and evaluating empirical evidence linking achievement motivation and time management and by providing a guide for future research. In line with this overarching goal, we first review the conceptual understanding of time management and how it fits with achievement motivation within the framework of self-regulated learning. Next, we conduct a critical evaluation of empirical evidence regarding the connection of time management and core constructs drawn from five prominent models of achievement motivation. Finally, we draw broader conclusions and map out key directions for researchers and practitioners interested in motivation, time management, and their relations within academic contexts.","container-title":"Educational Psychology Review","DOI":"10.1007/s10648-025-10032-4","ISSN":"1040-726X, 1573-336X","issue":"2","journalAbbreviation":"Educ Psychol Rev","language":"en","page":"58","source":"DOI.org (Crossref)","title":"Time Management and Achievement Motivation: A Review of What We Know and Directions for Where to Go","title-short":"Time Management and Achievement Motivation","URL":"https://link.springer.com/10.1007/s10648-025-10032-4","volume":"37","author":[{"family":"Wolters","given":"Christopher A."},{"family":"Brady","given":"Anna C."},{"family":"Lee","given":"Hyun Ji"}],"accessed":{"date-parts":[["2026",9,26]]},"issued":{"date-parts":[["2025",6]]}}}],"schema":"https://github.com/citation-style-language/schema/raw/master/csl-citation.json"} </w:instrText>
      </w:r>
      <w:r w:rsidR="0066640A">
        <w:fldChar w:fldCharType="separate"/>
      </w:r>
      <w:r w:rsidR="00B7239F" w:rsidRPr="00B7239F">
        <w:t>(Wolters et al., 2025)</w:t>
      </w:r>
      <w:r w:rsidR="0066640A">
        <w:fldChar w:fldCharType="end"/>
      </w:r>
      <w:r w:rsidR="0066640A">
        <w:t xml:space="preserve">. </w:t>
      </w:r>
      <w:r>
        <w:t xml:space="preserve">This empirical trajectory strongly aligns with broader meta-analytic evidence demonstrating that metacognitive scaffolding yields exceptionally large effect sizes on online learning outcomes by fostering internal locus of control and self-efficacy </w:t>
      </w:r>
      <w:r w:rsidR="0072291F">
        <w:fldChar w:fldCharType="begin"/>
      </w:r>
      <w:r w:rsidR="00B7239F">
        <w:instrText xml:space="preserve"> ADDIN ZOTERO_ITEM CSL_CITATION {"citationID":"NKhzeyFU","properties":{"formattedCitation":"(Doo et al., 2020)","plainCitation":"(Doo et al., 2020)","noteIndex":0},"citationItems":[{"id":"NaBsQCiw/fjvy43ZV","uris":["http://zotero.org/users/local/DMv4uL3N/items/QGZKNRHW"],"itemData":{"id":17350,"type":"article-journal","abstract":"The significance of scaffolding in education has received considerable attention. Many studies have examined the effects of scaffolding with diverse groups of participants, purposes, learning outcomes, and learning environments. The purpose of this research was to conduct a meta-analysis of the effects of scaffolding on learning outcomes in an online learning environment in higher education. This meta-analysis included studies with 64 effect sizes from 18 journal articles published in English, in eight countries, from 2010 to 2019. The meta-analysis revealed that scaffolding in an online learning environment has a large and statistically significant effect on learning outcomes. The meta-cognitive domain yielded a larger effect size than did the affective and cognitive domains. In terms of types of scaffolding activities, meta-cognitive scaffolding outnumbered other types of scaffolding. Computers as a scaffolding source in an online learning environment were also more prevalent than were human instructors. In addition, scholars in the United States have produced a large portion of the scaffolding research. Finally, the academic area of language and literature has adopted scaffolding most widely. Given that effective scaffolding can improve the quality of learning in an online environment, the current research is expected to contribute to online learning outcomes and learning experiences.","container-title":"The International Review of Research in Open and Distributed Learning","DOI":"10.19173/irrodl.v21i3.4638","ISSN":"1492-3831","issue":"3","journalAbbreviation":"IRRODL","license":"http://creativecommons.org/licenses/by/4.0","source":"DOI.org (Crossref)","title":"A Meta-Analysis of Scaffolding Effects in Online Learning in Higher Education","URL":"http://www.irrodl.org/index.php/irrodl/article/view/4638","volume":"21","author":[{"family":"Doo","given":"Min Young"},{"family":"Bonk","given":"Curtis"},{"family":"Heo","given":"Heeok"}],"accessed":{"date-parts":[["2026",9,23]]},"issued":{"date-parts":[["2020",3,4]]}}}],"schema":"https://github.com/citation-style-language/schema/raw/master/csl-citation.json"} </w:instrText>
      </w:r>
      <w:r w:rsidR="0072291F">
        <w:fldChar w:fldCharType="separate"/>
      </w:r>
      <w:r w:rsidR="00B7239F" w:rsidRPr="00B7239F">
        <w:t>(Doo et al., 2020)</w:t>
      </w:r>
      <w:r w:rsidR="0072291F">
        <w:fldChar w:fldCharType="end"/>
      </w:r>
      <w:r w:rsidR="00886156">
        <w:t xml:space="preserve">. </w:t>
      </w:r>
      <w:r>
        <w:t>The mandatory, low-overhead reflection prompts successfully converted routine assignment submissions into active metacognitive learning opportunities, enabling distance students to independently diagnose study inefficiencies and recalibrate their approaches for subsequent modules.</w:t>
      </w:r>
    </w:p>
    <w:p w14:paraId="497B7443" w14:textId="4C39CE6D" w:rsidR="008F1D39" w:rsidRPr="00320BD4" w:rsidRDefault="008F1D39" w:rsidP="0010722E">
      <w:pPr>
        <w:pStyle w:val="NormalWeb"/>
        <w:spacing w:before="0" w:beforeAutospacing="0" w:after="0" w:afterAutospacing="0"/>
        <w:ind w:firstLine="709"/>
        <w:jc w:val="both"/>
      </w:pPr>
      <w:r>
        <w:t xml:space="preserve">Ultimately, these empirical results underscore the broader pedagogical imperative of embedding process-oriented learning design directly into digital and distance higher education architectures. While conventional distance learning platforms remain heavily focused on passive content transmission and automated grading, integrating structured SRL mechanics creates a supportive, adaptive ecosystem that systematically develops student autonomy and academic resilience </w:t>
      </w:r>
      <w:r w:rsidR="0066640A">
        <w:fldChar w:fldCharType="begin"/>
      </w:r>
      <w:r w:rsidR="00B7239F">
        <w:instrText xml:space="preserve"> ADDIN ZOTERO_ITEM CSL_CITATION {"citationID":"b1R43hij","properties":{"unsorted":false,"formattedCitation":"(Bellh\\uc0\\u228{}user et al., 2023)","plainCitation":"(Bellhäuser et al., 2023)","noteIndex":0},"citationItems":[{"id":15957,"uris":["http://zotero.org/users/local/vwAKDnao/items/A6I6QSGA"],"itemData":{"id":15957,"type":"article-journal","abstract":"The goal of the present study was to investigate the effects of automatically generated, adaptive feedback on daily self-regulated learning (SRL) in an experimental field study. University students reported their application of SRL strategies in the morning and in the evening over the course of 36 days using electronic learning diaries. Students were randomly assigned to the experimental group with feedback (LDF,\n              n\n               = 98) or the control group without feedback (LD,\n              n\n               = 96). Based on their self-reports, students in group LDF received daily written feedback regarding their satisfaction with the study day, adherence to time schedule, procrastination, and effort. This feedback either reinforced students in their study approach (confirmative feedback), encompassed information on learning outcomes or processes (informative feedback), or included feed forward on how to improve learning processes (transformative feedback). Multilevel analysis of daily process data revealed better average goal setting, planning and adherence to time schedule, as well as higher self-efficacy, and satisfaction with the study day in group LDF compared to group LD. Motivation, procrastination and effort were not affected by feedback. In contrast to the process measures, pre-post comparisons of students’ self-reported general use of SRL strategies (trait measures) did not reveal any effects of feedback on SRL. Further explorative analyses investigated the effects of confirmative, informative, and transformative feedback on next day’s learning behavior, showing that confirmative and transformative feedback had stronger effects on students’ satisfaction and procrastination than informative feedback. Transformative feedback, which included specific strategies for moving forward, was effective in improving time management. Results provide theoretical insight into the interplay of feedback and SRL and offer practical implications regarding the design of feedback in a learning context.","container-title":"Frontiers in Psychology","DOI":"10.3389/fpsyg.2023.1125873","ISSN":"1664-1078","journalAbbreviation":"Front. Psychol.","page":"1125873","source":"DOI.org (Crossref)","title":"Daily automated feedback enhances self-regulated learning: a longitudinal randomized field experiment","title-short":"Daily automated feedback enhances self-regulated learning","URL":"https://www.frontiersin.org/articles/10.3389/fpsyg.2023.1125873/full","volume":"14","author":[{"family":"Bellhäuser","given":"Henrik"},{"family":"Dignath","given":"Charlotte"},{"family":"Theobald","given":"Maria"}],"accessed":{"date-parts":[["2026",9,26]]},"issued":{"date-parts":[["2023",5,18]]}}}],"schema":"https://github.com/citation-style-language/schema/raw/master/csl-citation.json"} </w:instrText>
      </w:r>
      <w:r w:rsidR="0066640A">
        <w:fldChar w:fldCharType="separate"/>
      </w:r>
      <w:r w:rsidR="00B7239F" w:rsidRPr="00B7239F">
        <w:t>(Bellhäuser et al., 2023)</w:t>
      </w:r>
      <w:r w:rsidR="0066640A">
        <w:fldChar w:fldCharType="end"/>
      </w:r>
      <w:r w:rsidR="0066640A">
        <w:t xml:space="preserve">; </w:t>
      </w:r>
      <w:r w:rsidR="0066640A">
        <w:fldChar w:fldCharType="begin"/>
      </w:r>
      <w:r w:rsidR="00B7239F">
        <w:instrText xml:space="preserve"> ADDIN ZOTERO_ITEM CSL_CITATION {"citationID":"a3kG02Kp","properties":{"unsorted":false,"formattedCitation":"(Ponomariovien\\uc0\\u279{} &amp; Jakavonyt\\uc0\\u279{}-Sta\\uc0\\u353{}kuvien\\uc0\\u279{}, 2024)","plainCitation":"(Ponomariovienė &amp; Jakavonytė-Staškuvienė, 2024)","noteIndex":0},"citationItems":[{"id":15959,"uris":["http://zotero.org/users/local/vwAKDnao/items/KX4R2WI3"],"itemData":{"id":15959,"type":"article-journal","abstract":"The paper analyzes what personal goals primary school pupils are able to set on their own and how they achieve them in their decision-making process, thereby developing competence in learning to learn. In this work, the reader will be able to get acquainted with the theoretically grounded concept of the development of competence in learning and the possibilities of developing this competence in primary schools. In addition, it provides practical tools for the quality development of students’ learning competence, where students not only set personal goals and plan the steps to achieve them but also reflect on their experiences. An action research study analyzed the content of students’ (N = 50) personal learning diaries, discussing the students’ learning goals and the choices they make to achieve them and reflecting on the efforts made, and results were obtained in the development of the competence to learn. Based on the study findings, it is evident that fourth-grade students exhibit distinct patterns in individual goal setting, action-planning, and reflection processes. The analysis presented in this paper analyzes the general highlights and overarching themes and provides specific instances of goals, activity tasks, and reflections, offering insight into the cognitive processes of fourth-graders and their perceptions regarding the benefits and challenges of learning.","container-title":"Education Sciences","DOI":"10.3390/educsci14040368","ISSN":"2227-7102","issue":"4","journalAbbreviation":"Education Sciences","language":"en","page":"368","source":"DOI.org (Crossref)","title":"Solutions for Independent Goal Setting and Implementation of Primary School Students Fostering the Competence of Learning to Learn","URL":"https://www.mdpi.com/2227-7102/14/4/368","volume":"14","author":[{"family":"Ponomariovienė","given":"Jovita"},{"family":"Jakavonytė-Staškuvienė","given":"Daiva"}],"accessed":{"date-parts":[["2026",9,26]]},"issued":{"date-parts":[["2024",4,1]]}}}],"schema":"https://github.com/citation-style-language/schema/raw/master/csl-citation.json"} </w:instrText>
      </w:r>
      <w:r w:rsidR="0066640A">
        <w:fldChar w:fldCharType="separate"/>
      </w:r>
      <w:r w:rsidR="00B7239F" w:rsidRPr="00B7239F">
        <w:t>(Ponomariovienė &amp; Jakavonytė-Staškuvienė, 2024)</w:t>
      </w:r>
      <w:r w:rsidR="0066640A">
        <w:fldChar w:fldCharType="end"/>
      </w:r>
      <w:r w:rsidR="0066640A">
        <w:t xml:space="preserve">. </w:t>
      </w:r>
      <w:r>
        <w:t xml:space="preserve">Furthermore, as online education increasingly adopts advanced analytics and artificial intelligence, combining technological infrastructure with pedagogical SRL scaffolding offers a powerful, synergistic paradigm for personalizing the asynchronous learning experience </w:t>
      </w:r>
      <w:r w:rsidR="00FD3470">
        <w:fldChar w:fldCharType="begin"/>
      </w:r>
      <w:r w:rsidR="00B7239F">
        <w:instrText xml:space="preserve"> ADDIN ZOTERO_ITEM CSL_CITATION {"citationID":"nFiy6FOR","properties":{"formattedCitation":"(Santia et al., 2025)","plainCitation":"(Santia et al., 2025)","noteIndex":0},"citationItems":[{"id":"NaBsQCiw/J1ZW6Zu1","uris":["http://zotero.org/users/local/DMv4uL3N/items/HGGGFVZ7"],"itemData":{"id":17352,"type":"article-journal","abstract":"ABSTRACT\nThe advancement of digital technology and artificial intelligence, along with students’ capacity for self-regulated learning, positions the use of AI and self-directed learning as key elements in promoting academic engagement in higher education. This quantitative research examines how AI-assisted instruction and self-regulated learning (SRL) influence student engagement within Buddhist higher education institutions. The research was conducted at higher education institutions in Bandar Lampung with Buddhist students as the unit of analysis. The study involved a population of 300 students, from which 171 participants were selected as the sample. Data were gathered using a five-point Likert-scale questionnaire and analysed through multiple linear regression techniques. The findings show that AI-supported instruction exerts a significant and positive effect on student engagement. Likewise, self-regulated learning was also found to have a significant positive effect on student engagement. These findings highlight the dual importance of leveraging AI technology in teaching and strengthening student learning autonomy as strategies to foster deeper engagement. Theoretically, the study contributes to the growing body of literature on AI-enhanced pedagogy and learner autonomy in higher education. Practically, it provides guidance for educators and institutions to design learning models that synergise technological support with self-regulated learning to enhance the quality of student engagement and academic outcomes in the digital era.\nABSTRAK\nPerkembangan teknologi digital dan kecerdasan buatan, yang disertai dengan kemampuan mahasiswa dalam mengatur pembelajarannya secara mandiri, menempatkan pemanfaatan AI dan pembelajaran mandiri sebagai elemen kunci dalam meningkatkan keterlibatan akademik di pendidikan tinggi. Penelitian kuantitatif ini mengkaji pengaruh pembelajaran berbantuan AI dan self-regulated learning (SRL) terhadap keterlibatan mahasiswa di perguruan tinggi Buddhis. Penelitian ini dilaksanakan di perguruan tinggi yang berada di Bandar Lampung dengan mahasiswa Buddhis sebagai unit analisis. Populasi penelitian berjumlah 300 mahasiswa, dengan sampel sebanyak 171 responden. Data dikumpulkan melalui kuesioner skala Likert lima poin dan dianalisis menggunakan teknik regresi linier berganda. Hasil penelitian menunjukkan bahwa pembelajaran berbantuan AI memiliki pengaruh positif dan signifikan terhadap keterlibatan mahasiswa. Demikian pula, self-regulated learning juga terbukti berpengaruh positif dan signifikan terhadap keterlibatan mahasiswa. Temuan ini menegaskan pentingnya pemanfaatan teknologi AI dalam proses pembelajaran serta penguatan kemandirian belajar mahasiswa sebagai strategi untuk mendorong keterlibatan yang lebih mendalam. Secara teoretis, penelitian ini berkontribusi pada pengembangan kajian mengenai pedagogi berbasis AI dan otonomi pembelajar dalam konteks pendidikan tinggi. Secara praktis, penelitian ini memberikan acuan bagi pendidik dan institusi pendidikan dalam merancang model pembelajaran yang mensinergikan dukungan teknologi dengan self-regulated learning guna meningkatkan kualitas keterlibatan mahasiswa dan capaian akademik di era digital.","container-title":"TEACHING : Jurnal Inovasi Keguruan dan Ilmu Pendidikan","DOI":"10.51878/teaching.v5i4.7955","ISSN":"2775-7188, 2775-717X","issue":"4","journalAbbreviation":"J.t","license":"https://creativecommons.org/licenses/by-sa/4.0","page":"925-938","source":"DOI.org (Crossref)","title":"A QUANTITATIVE STUDY ON AI-SUPPORTED TEACHING AND SELF-REGULATED LEARNING AND THEIR IMPACT ON STUDENT ENGAGEMENT IN HIGHER EDUCATION","volume":"5","author":[{"family":"Santia","given":"Santia"},{"family":"Andriyaningsih","given":"Ayu"},{"family":"Sutawan","given":"Komang"}],"issued":{"date-parts":[["2025",12,14]]}}}],"schema":"https://github.com/citation-style-language/schema/raw/master/csl-citation.json"} </w:instrText>
      </w:r>
      <w:r w:rsidR="00FD3470">
        <w:fldChar w:fldCharType="separate"/>
      </w:r>
      <w:r w:rsidR="00B7239F" w:rsidRPr="00B7239F">
        <w:t>(Santia et al., 2025)</w:t>
      </w:r>
      <w:r w:rsidR="00FD3470">
        <w:fldChar w:fldCharType="end"/>
      </w:r>
      <w:r w:rsidR="00FD3470">
        <w:t>.</w:t>
      </w:r>
      <w:r>
        <w:t xml:space="preserve"> By prioritizing process support alongside subject-matter delivery, instructional designers can transform distance courses from isolated content repositories into vibrant, engaging digital environments that ensure long-term academic persistence</w:t>
      </w:r>
      <w:r w:rsidR="0010722E">
        <w:t>.</w:t>
      </w:r>
    </w:p>
    <w:p w14:paraId="39B192D3" w14:textId="639FE2D0" w:rsidR="00320BD4" w:rsidRPr="00320BD4" w:rsidRDefault="00E05F87" w:rsidP="00320BD4">
      <w:pPr>
        <w:spacing w:before="100" w:beforeAutospacing="1" w:after="100" w:afterAutospacing="1" w:line="240" w:lineRule="auto"/>
        <w:rPr>
          <w:rFonts w:ascii="Times New Roman" w:eastAsia="Times New Roman" w:hAnsi="Times New Roman" w:cs="Times New Roman"/>
          <w:i/>
          <w:iCs/>
          <w:kern w:val="0"/>
          <w:sz w:val="24"/>
          <w:szCs w:val="24"/>
          <w14:ligatures w14:val="none"/>
        </w:rPr>
      </w:pPr>
      <w:r w:rsidRPr="00320BD4">
        <w:rPr>
          <w:rFonts w:ascii="Times New Roman" w:eastAsia="Times New Roman" w:hAnsi="Times New Roman" w:cs="Times New Roman"/>
          <w:i/>
          <w:iCs/>
          <w:kern w:val="0"/>
          <w:sz w:val="24"/>
          <w:szCs w:val="24"/>
          <w14:ligatures w14:val="none"/>
        </w:rPr>
        <w:t>Metacognitive development and reduced transactional distance</w:t>
      </w:r>
    </w:p>
    <w:p w14:paraId="6C5A6BC9" w14:textId="4BD521A6" w:rsidR="00320BD4" w:rsidRDefault="00320BD4" w:rsidP="005A0897">
      <w:pPr>
        <w:spacing w:after="0" w:line="240" w:lineRule="auto"/>
        <w:ind w:firstLine="720"/>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kern w:val="0"/>
          <w:sz w:val="24"/>
          <w:szCs w:val="24"/>
          <w14:ligatures w14:val="none"/>
        </w:rPr>
        <w:t>Qualitative findings from student focus groups revealed that metacognitive reflection prompts significantly altered how students approached distance learning. Rather than viewing online tasks as isolated homework submissions, students reported feeling more in control of their learning pace.</w:t>
      </w:r>
    </w:p>
    <w:p w14:paraId="4A78BABD" w14:textId="77777777" w:rsidR="00E05F87" w:rsidRPr="00320BD4" w:rsidRDefault="00E05F87" w:rsidP="00E05F87">
      <w:pPr>
        <w:spacing w:after="0" w:line="240" w:lineRule="auto"/>
        <w:jc w:val="both"/>
        <w:rPr>
          <w:rFonts w:ascii="Times New Roman" w:eastAsia="Times New Roman" w:hAnsi="Times New Roman" w:cs="Times New Roman"/>
          <w:kern w:val="0"/>
          <w:sz w:val="24"/>
          <w:szCs w:val="24"/>
          <w14:ligatures w14:val="none"/>
        </w:rPr>
      </w:pPr>
    </w:p>
    <w:p w14:paraId="63E5F4A1" w14:textId="77777777" w:rsidR="00320BD4" w:rsidRPr="00320BD4" w:rsidRDefault="00320BD4" w:rsidP="00E05F87">
      <w:pPr>
        <w:spacing w:after="0" w:line="240" w:lineRule="auto"/>
        <w:ind w:left="284"/>
        <w:jc w:val="both"/>
        <w:rPr>
          <w:rFonts w:ascii="Times New Roman" w:eastAsia="Times New Roman" w:hAnsi="Times New Roman" w:cs="Times New Roman"/>
          <w:kern w:val="0"/>
          <w:sz w:val="24"/>
          <w:szCs w:val="24"/>
          <w14:ligatures w14:val="none"/>
        </w:rPr>
      </w:pPr>
      <w:r w:rsidRPr="00320BD4">
        <w:rPr>
          <w:rFonts w:ascii="Times New Roman" w:eastAsia="Times New Roman" w:hAnsi="Times New Roman" w:cs="Times New Roman"/>
          <w:i/>
          <w:iCs/>
          <w:kern w:val="0"/>
          <w:sz w:val="24"/>
          <w:szCs w:val="24"/>
          <w14:ligatures w14:val="none"/>
        </w:rPr>
        <w:t>"The weekly reflection forced me to stop and look at why I was falling behind. Instead of blaming the online format, I realized I was misjudging how long reading modules took. It made me plan my study weekends much better."</w:t>
      </w:r>
      <w:r w:rsidRPr="00320BD4">
        <w:rPr>
          <w:rFonts w:ascii="Times New Roman" w:eastAsia="Times New Roman" w:hAnsi="Times New Roman" w:cs="Times New Roman"/>
          <w:kern w:val="0"/>
          <w:sz w:val="24"/>
          <w:szCs w:val="24"/>
          <w14:ligatures w14:val="none"/>
        </w:rPr>
        <w:t xml:space="preserve"> (Participant B14, Experimental Group)</w:t>
      </w:r>
    </w:p>
    <w:p w14:paraId="60522EAA" w14:textId="77777777" w:rsidR="00E05F87" w:rsidRDefault="00E05F87" w:rsidP="00E05F87">
      <w:pPr>
        <w:spacing w:after="0" w:line="240" w:lineRule="auto"/>
        <w:jc w:val="both"/>
        <w:rPr>
          <w:rFonts w:ascii="Times New Roman" w:eastAsia="Times New Roman" w:hAnsi="Times New Roman" w:cs="Times New Roman"/>
          <w:kern w:val="0"/>
          <w:sz w:val="24"/>
          <w:szCs w:val="24"/>
          <w14:ligatures w14:val="none"/>
        </w:rPr>
      </w:pPr>
    </w:p>
    <w:p w14:paraId="7F4DD49B" w14:textId="35CFACF0" w:rsidR="005A0897" w:rsidRPr="0066640A" w:rsidRDefault="00320BD4" w:rsidP="0066640A">
      <w:pPr>
        <w:spacing w:after="0" w:line="240" w:lineRule="auto"/>
        <w:ind w:firstLine="720"/>
        <w:jc w:val="both"/>
        <w:rPr>
          <w:rFonts w:ascii="Times New Roman" w:hAnsi="Times New Roman" w:cs="Times New Roman"/>
        </w:rPr>
      </w:pPr>
      <w:r w:rsidRPr="0066640A">
        <w:rPr>
          <w:rFonts w:ascii="Times New Roman" w:eastAsia="Times New Roman" w:hAnsi="Times New Roman" w:cs="Times New Roman"/>
          <w:kern w:val="0"/>
          <w:sz w:val="24"/>
          <w:szCs w:val="24"/>
          <w14:ligatures w14:val="none"/>
        </w:rPr>
        <w:lastRenderedPageBreak/>
        <w:t>By structuring the learning process, the intervention effectively reduced the psychological distance between the student and the learning environment. The scaffolds acted as an "invisible instructor," providing structure without imposing rigid synchronized schedules.</w:t>
      </w:r>
      <w:r w:rsidR="0066640A" w:rsidRPr="0066640A">
        <w:rPr>
          <w:rFonts w:ascii="Times New Roman" w:eastAsia="Times New Roman" w:hAnsi="Times New Roman" w:cs="Times New Roman"/>
          <w:kern w:val="0"/>
          <w:sz w:val="24"/>
          <w:szCs w:val="24"/>
          <w14:ligatures w14:val="none"/>
        </w:rPr>
        <w:t xml:space="preserve"> </w:t>
      </w:r>
      <w:r w:rsidR="005A0897" w:rsidRPr="0066640A">
        <w:rPr>
          <w:rFonts w:ascii="Times New Roman" w:hAnsi="Times New Roman" w:cs="Times New Roman"/>
        </w:rPr>
        <w:t xml:space="preserve">The qualitative insights derived from participant focus groups reveal that embedding structured metacognitive reflection prompts fundamentally transformed students' psychological orientation toward distance learning, directly mitigating the isolating effects of transactional distance. By engaging in mandatory weekly self-reflections, learners transitioned from passively completing disconnected assignments to actively managing their cognitive and behavioral processes </w:t>
      </w:r>
      <w:r w:rsidR="00CB37CF" w:rsidRPr="0066640A">
        <w:rPr>
          <w:rFonts w:ascii="Times New Roman" w:hAnsi="Times New Roman" w:cs="Times New Roman"/>
        </w:rPr>
        <w:fldChar w:fldCharType="begin"/>
      </w:r>
      <w:r w:rsidR="00B7239F">
        <w:rPr>
          <w:rFonts w:ascii="Times New Roman" w:hAnsi="Times New Roman" w:cs="Times New Roman"/>
        </w:rPr>
        <w:instrText xml:space="preserve"> ADDIN ZOTERO_ITEM CSL_CITATION {"citationID":"JRZjR4rQ","properties":{"formattedCitation":"(Sutarni et al., 2021)","plainCitation":"(Sutarni et al., 2021)","noteIndex":0},"citationItems":[{"id":"NaBsQCiw/6Q7qs0AN","uris":["http://zotero.org/users/local/DMv4uL3N/items/R8ALTS2Q"],"itemData":{"id":17359,"type":"article-journal","abstract":"The unprecedented changes in the education sector due to the recent pandemic demand teachers and students to adapt to new ways of learning via online platforms. A plethora of latest research has investigated various topics such as online learning platforms, online learning materials, and teacher/student perceptions; however, little is known about the link between online learning and achievement. Occupying this lacuna, this study specifically sought to examine the relationship between self-regulated learning (SRL), the digital learning environment, and student' academic achievement during the pandemic.  The population of this research was 1,800 students (freshmen, sophomore, junior, and senior class) enrolled for the Introduction to Management course at a state university in Bandung, Indonesia. Selected using a proportionate random sampling, 317 students participated as the respondents.  The data were collected through questionnaire surveys, while the Structural Equation Model (SEM) was employed to analyze the interrelationship among the construct variables.  The results of this study show that promoting SRL may affect the optimization of the digital learning environment and academic achievements.  Students with better self-regulated learning ability can somehow optimize their digital learning environment and be more progressive in terms of academic achievement.","container-title":"Jurnal Cakrawala Pendidikan","DOI":"10.21831/cp.v40i2.40718","ISSN":"2442-8620, 0216-1370","issue":"2","journalAbbreviation":"CP","page":"374-388","source":"DOI.org (Crossref)","title":"SELF-REGULATED LEARNING AND DIGITAL LEARNING ENVIRONMENT: ITS' EFFECT ON ACADEMIC ACHIEVEMENT DURING THE PANDEMIC","title-short":"SELF-REGULATED LEARNING AND DIGITAL LEARNING ENVIRONMENT","volume":"40","author":[{"family":"Sutarni","given":"Nani"},{"family":"Ramdhany","given":"M Arief"},{"family":"Hufad","given":"Achmad"},{"family":"Kurniawan","given":"Eri"}],"issued":{"date-parts":[["2021",6,19]]}}}],"schema":"https://github.com/citation-style-language/schema/raw/master/csl-citation.json"} </w:instrText>
      </w:r>
      <w:r w:rsidR="00CB37CF" w:rsidRPr="0066640A">
        <w:rPr>
          <w:rFonts w:ascii="Times New Roman" w:hAnsi="Times New Roman" w:cs="Times New Roman"/>
        </w:rPr>
        <w:fldChar w:fldCharType="separate"/>
      </w:r>
      <w:r w:rsidR="00B7239F" w:rsidRPr="00B7239F">
        <w:rPr>
          <w:rFonts w:ascii="Times New Roman" w:hAnsi="Times New Roman" w:cs="Times New Roman"/>
          <w:sz w:val="24"/>
        </w:rPr>
        <w:t>(Sutarni et al., 2021)</w:t>
      </w:r>
      <w:r w:rsidR="00CB37CF" w:rsidRPr="0066640A">
        <w:rPr>
          <w:rFonts w:ascii="Times New Roman" w:hAnsi="Times New Roman" w:cs="Times New Roman"/>
        </w:rPr>
        <w:fldChar w:fldCharType="end"/>
      </w:r>
      <w:r w:rsidR="00CB37CF" w:rsidRPr="0066640A">
        <w:rPr>
          <w:rFonts w:ascii="Times New Roman" w:hAnsi="Times New Roman" w:cs="Times New Roman"/>
        </w:rPr>
        <w:t xml:space="preserve">. </w:t>
      </w:r>
      <w:r w:rsidR="005A0897" w:rsidRPr="0066640A">
        <w:rPr>
          <w:rFonts w:ascii="Times New Roman" w:hAnsi="Times New Roman" w:cs="Times New Roman"/>
        </w:rPr>
        <w:t xml:space="preserve">As illustrated by Participant B14's realization regarding time misallocation during study weekends, these reflective prompts prompted students to evaluate their study habits critically, diagnose personal inefficiencies, and recalibrate their approaches without attributing academic friction solely to the online format </w:t>
      </w:r>
      <w:r w:rsidR="00D5317A" w:rsidRPr="0066640A">
        <w:rPr>
          <w:rFonts w:ascii="Times New Roman" w:hAnsi="Times New Roman" w:cs="Times New Roman"/>
        </w:rPr>
        <w:fldChar w:fldCharType="begin"/>
      </w:r>
      <w:r w:rsidR="00B7239F">
        <w:rPr>
          <w:rFonts w:ascii="Times New Roman" w:hAnsi="Times New Roman" w:cs="Times New Roman"/>
        </w:rPr>
        <w:instrText xml:space="preserve"> ADDIN ZOTERO_ITEM CSL_CITATION {"citationID":"GYgyV6dt","properties":{"formattedCitation":"(Hagan et al., 2020)","plainCitation":"(Hagan et al., 2020)","noteIndex":0},"citationItems":[{"id":"NaBsQCiw/zc8qF4Vh","uris":["http://zotero.org/users/local/DMv4uL3N/items/2DBKS8AQ"],"itemData":{"id":17354,"type":"article-journal","abstract":"This case study will focus on the authors’ efforts to engage students in one asynchronous, online undergraduate legal pipeline course, and the substantive revisions made to the course over three years to increase student engagement, self-reflection, self-regulation, and metacognition. A “pipeline” program is designed to identify, support, and guide students from diverse backgrounds to the graduate level field of their interest (Cunningham &amp; Steele, 2015). In this paper, the authors will discuss their initial efforts to engage students and facilitate self-regulation, and the substantive revisions made based on user data for two subsequent offerings of the course. The authors will describe two strategic uses of the learning management system (LMS) to increase student engagement and self-regulated learning. First, the authors detail a weekly reflection and engagement routine that was developed to address concerns regarding student-to-faculty engagement identified during the first version of the course. Second, the authors outline a scaffolded multi-week skills-based activity that was developed to reinforce a critical course learning objective and help students monitor their own learning progress. During each iteration of the course, user data collected from the LMS and other integrated tools, along with student feedback and instructor and designer reflection on practice, informed substantive revisions to the learning activities described. Over three versions of the course, data suggest increased engagement, self- reflection, and self-regulation. Finally, the authors will reflect on the implications of their work and possible applications to other settings.","container-title":"Journal of Teaching and Learning with Technology","DOI":"10.14434/jotlt.v9i1.29469","ISSN":"2165-2554","issue":"1","journalAbbreviation":"JoTLT","source":"DOI.org (Crossref)","title":"The RECAP and SCAFFOLDS Frameworks: Engaging Students in Self-Reflection and Self-Regulation Within Online Learning","title-short":"The RECAP and SCAFFOLDS Frameworks","URL":"https://scholarworks.iu.edu/journals/index.php/jotlt/article/view/29469","volume":"9","author":[{"family":"Hagan","given":"Carrie"},{"family":"Callison","given":"Mathew"},{"family":"Fox","given":"Alexandria"}],"accessed":{"date-parts":[["2026",9,23]]},"issued":{"date-parts":[["2020",8,12]]}}}],"schema":"https://github.com/citation-style-language/schema/raw/master/csl-citation.json"} </w:instrText>
      </w:r>
      <w:r w:rsidR="00D5317A" w:rsidRPr="0066640A">
        <w:rPr>
          <w:rFonts w:ascii="Times New Roman" w:hAnsi="Times New Roman" w:cs="Times New Roman"/>
        </w:rPr>
        <w:fldChar w:fldCharType="separate"/>
      </w:r>
      <w:r w:rsidR="00B7239F" w:rsidRPr="00B7239F">
        <w:rPr>
          <w:rFonts w:ascii="Times New Roman" w:hAnsi="Times New Roman" w:cs="Times New Roman"/>
          <w:sz w:val="24"/>
        </w:rPr>
        <w:t>(Hagan et al., 2020)</w:t>
      </w:r>
      <w:r w:rsidR="00D5317A" w:rsidRPr="0066640A">
        <w:rPr>
          <w:rFonts w:ascii="Times New Roman" w:hAnsi="Times New Roman" w:cs="Times New Roman"/>
        </w:rPr>
        <w:fldChar w:fldCharType="end"/>
      </w:r>
      <w:r w:rsidR="00D5317A" w:rsidRPr="0066640A">
        <w:rPr>
          <w:rFonts w:ascii="Times New Roman" w:hAnsi="Times New Roman" w:cs="Times New Roman"/>
        </w:rPr>
        <w:t xml:space="preserve">. </w:t>
      </w:r>
      <w:r w:rsidR="005A0897" w:rsidRPr="0066640A">
        <w:rPr>
          <w:rFonts w:ascii="Times New Roman" w:hAnsi="Times New Roman" w:cs="Times New Roman"/>
        </w:rPr>
        <w:t xml:space="preserve">This structured, cyclical reflective loop functioned effectively as an "invisible instructor," providing the pedagogical direction and cognitive structure necessary to bridge the psychological gap between the learner and the course environment while preserving the temporal flexibility inherent to asynchronous delivery </w:t>
      </w:r>
      <w:r w:rsidR="00D5317A" w:rsidRPr="0066640A">
        <w:rPr>
          <w:rFonts w:ascii="Times New Roman" w:hAnsi="Times New Roman" w:cs="Times New Roman"/>
        </w:rPr>
        <w:fldChar w:fldCharType="begin"/>
      </w:r>
      <w:r w:rsidR="00B7239F">
        <w:rPr>
          <w:rFonts w:ascii="Times New Roman" w:hAnsi="Times New Roman" w:cs="Times New Roman"/>
        </w:rPr>
        <w:instrText xml:space="preserve"> ADDIN ZOTERO_ITEM CSL_CITATION {"citationID":"fhXcMbXR","properties":{"formattedCitation":"(Rimor et al., 2008)","plainCitation":"(Rimor et al., 2008)","noteIndex":0},"citationItems":[{"id":"NaBsQCiw/xKXwaWdq","uris":["http://zotero.org/users/local/DMv4uL3N/items/E8WSEESZ"],"itemData":{"id":17356,"type":"chapter","container-title":"Beyond Knowledge: The Legacy of Competence","DOI":"10.1007/978-1-4020-8827-8_6","ISBN":"978-1-4020-8826-1","language":"en","page":"43-53","publisher":"Springer Netherlands","publisher-place":"Dordrecht","source":"DOI.org (Crossref)","title":"Instructor Scaffolding in Support of Students’ Metacognition Through an Online Course","URL":"http://link.springer.com/10.1007/978-1-4020-8827-8_6","editor":[{"family":"Zumbach","given":"Jörg"},{"family":"Schwartz","given":"Neil"},{"family":"Seufert","given":"Tina"},{"family":"Kester","given":"Liesbeth"}],"author":[{"family":"Rimor","given":"Rikki"},{"family":"Reingold","given":"Roni"},{"family":"Heiman","given":"Tali"}],"accessed":{"date-parts":[["2026",9,23]]},"issued":{"date-parts":[["2008"]]}}}],"schema":"https://github.com/citation-style-language/schema/raw/master/csl-citation.json"} </w:instrText>
      </w:r>
      <w:r w:rsidR="00D5317A" w:rsidRPr="0066640A">
        <w:rPr>
          <w:rFonts w:ascii="Times New Roman" w:hAnsi="Times New Roman" w:cs="Times New Roman"/>
        </w:rPr>
        <w:fldChar w:fldCharType="separate"/>
      </w:r>
      <w:r w:rsidR="00B7239F" w:rsidRPr="00B7239F">
        <w:rPr>
          <w:rFonts w:ascii="Times New Roman" w:hAnsi="Times New Roman" w:cs="Times New Roman"/>
          <w:sz w:val="24"/>
        </w:rPr>
        <w:t>(Rimor et al., 2008)</w:t>
      </w:r>
      <w:r w:rsidR="00D5317A" w:rsidRPr="0066640A">
        <w:rPr>
          <w:rFonts w:ascii="Times New Roman" w:hAnsi="Times New Roman" w:cs="Times New Roman"/>
        </w:rPr>
        <w:fldChar w:fldCharType="end"/>
      </w:r>
      <w:r w:rsidR="000939ED" w:rsidRPr="0066640A">
        <w:rPr>
          <w:rFonts w:ascii="Times New Roman" w:hAnsi="Times New Roman" w:cs="Times New Roman"/>
        </w:rPr>
        <w:t xml:space="preserve">. </w:t>
      </w:r>
    </w:p>
    <w:p w14:paraId="6DA497FD" w14:textId="333897DD" w:rsidR="005A0897" w:rsidRDefault="005A0897" w:rsidP="0066640A">
      <w:pPr>
        <w:pStyle w:val="NormalWeb"/>
        <w:spacing w:before="0" w:beforeAutospacing="0" w:after="0" w:afterAutospacing="0"/>
        <w:ind w:firstLine="720"/>
        <w:jc w:val="both"/>
      </w:pPr>
      <w:r>
        <w:t xml:space="preserve">This qualitative shift in learning orientation directly addresses Moore’s Theory of Transactional Distance by fostering a heightened sense of continuous engagement and personal connection with the course architecture </w:t>
      </w:r>
      <w:r w:rsidR="000939ED">
        <w:fldChar w:fldCharType="begin"/>
      </w:r>
      <w:r w:rsidR="00B7239F">
        <w:instrText xml:space="preserve"> ADDIN ZOTERO_ITEM CSL_CITATION {"citationID":"UtipcH24","properties":{"formattedCitation":"(Karagianni, 2024)","plainCitation":"(Karagianni, 2024)","noteIndex":0},"citationItems":[{"id":"NaBsQCiw/D1bf7czc","uris":["http://zotero.org/users/local/DMv4uL3N/items/BQDBHRKX"],"itemData":{"id":17357,"type":"article-journal","abstract":"Challenges in open and distance education are unique to the learner and generally result in a gap between what is desired and what is realized. This paper explores how metacognition works wonders in bridging this gap and leading to improved learning outcomes within Open and Distance Education (ODE) environments. Metacognitive strategies foster self-regulated learning and assist students in properly planning, monitoring, and assessing their learning processes. In line with this, this paper discusses how metacognition could make a difference in improving academic achievement, promoting independent learning, and building lifelong learning skills within ODE. We demonstrate, from in-depth research and analysis of best practices, how the integration of metacognitive approaches into practice could go a long way in closing the achievement gap and optimizing the educational experience for distance learners. The findings underscore the critical role of metacognition in letting students rise above intrinsic ODE difficulties toward superior learning outcomes.&lt;p&gt; &lt;/p&gt;&lt;p&gt;&lt;strong&gt; Article visualizations:&lt;/strong&gt;&lt;/p&gt;&lt;p&gt;&lt;img src=\"/-counters-/soc/0715/a.php\" alt=\"Hit counter\" /&gt;&lt;/p&gt;","container-title":"European Journal of Open Education and E-learning Studies","DOI":"10.46827/ejoe.v9i1.5567","ISSN":"25019120, 25019120","issue":"1","journalAbbreviation":"EJOE","source":"DOI.org (Crossref)","title":"METACOGNITION AS A CATALYST FOR IMPROVED LEARNING OUTCOMES IN OPEN &amp; DISTANCE EDUCATION","URL":"https://oapub.org/edu/index.php/ejoe/article/view/5567","volume":"9","author":[{"family":"Karagianni","given":"Georgia Konstantia"}],"accessed":{"date-parts":[["2026",9,23]]},"issued":{"date-parts":[["2024",9,4]]}}}],"schema":"https://github.com/citation-style-language/schema/raw/master/csl-citation.json"} </w:instrText>
      </w:r>
      <w:r w:rsidR="000939ED">
        <w:fldChar w:fldCharType="separate"/>
      </w:r>
      <w:r w:rsidR="00B7239F" w:rsidRPr="00B7239F">
        <w:t>(Karagianni, 2024)</w:t>
      </w:r>
      <w:r w:rsidR="000939ED">
        <w:fldChar w:fldCharType="end"/>
      </w:r>
      <w:r w:rsidR="000939ED">
        <w:t xml:space="preserve">. </w:t>
      </w:r>
      <w:r>
        <w:t>By internalizing self-regulation strategies, students cultivated a strong internal locus of control, empowering them to reframe academic obstacles as manageable strategic adjustments rather than insurmountable barriers imposed by the digital environment</w:t>
      </w:r>
      <w:r w:rsidR="00CB37CF">
        <w:t>.</w:t>
      </w:r>
      <w:r>
        <w:t xml:space="preserve"> Rather than relying on constant, real-time faculty oversight, learners used adaptive, indirect scaffolds to self-diagnose cognitive bottlenecks, which enhanced their self-efficacy and learning ownership</w:t>
      </w:r>
      <w:r w:rsidR="0066640A">
        <w:t xml:space="preserve">. </w:t>
      </w:r>
      <w:r>
        <w:t>Consequently, the integration of reflective mechanics proved that lowering transactional distance in online education depends not merely on increasing instructor-student communication frequency, but on designing instructional frameworks that empower students to regulate their own learning journey.</w:t>
      </w:r>
      <w:r w:rsidR="0066640A">
        <w:t xml:space="preserve"> </w:t>
      </w:r>
      <w:r>
        <w:t>At the operational level, these qualitative outcomes demonstrate the critical role of adaptive scaffolding frameworks in supporting higher-order cognitive processing in distance education. Indirect, low-overhead scaffolds provide the structural guidance needed to stimulate metacognitive awareness without inducing cognitive overload or restricting student agency</w:t>
      </w:r>
      <w:r w:rsidR="00CB37CF">
        <w:t>.</w:t>
      </w:r>
      <w:r>
        <w:t xml:space="preserve"> When reflective prompts are integrated as routine, low-stakes module components, they encourage continuous self-evaluation and meaningful dialogue between the learner's expectations and actual performance</w:t>
      </w:r>
      <w:r w:rsidR="0066640A">
        <w:t xml:space="preserve">. </w:t>
      </w:r>
      <w:r>
        <w:t>This reflective routine helps students bridge the gap between abstract course content and personal study execution, ensuring that self-regulated learning strategies are actively practiced rather than left to chance.</w:t>
      </w:r>
    </w:p>
    <w:p w14:paraId="461BE106" w14:textId="0A66C3AD" w:rsidR="005A0897" w:rsidRDefault="005A0897" w:rsidP="00AF6AA7">
      <w:pPr>
        <w:pStyle w:val="NormalWeb"/>
        <w:spacing w:before="0" w:beforeAutospacing="0" w:after="0" w:afterAutospacing="0"/>
        <w:ind w:firstLine="720"/>
        <w:jc w:val="both"/>
      </w:pPr>
      <w:r>
        <w:t xml:space="preserve">Nevertheless, translating these metacognitive benefits across broader educational contexts presents ongoing pedagogical considerations. While low-overhead reflective prompts effectively support self-regulation for most distance learners, variations in prior academic preparation and digital literacy require scaffolds to remain flexible and responsive to diverse student profiles </w:t>
      </w:r>
      <w:r w:rsidR="00CB37CF">
        <w:fldChar w:fldCharType="begin"/>
      </w:r>
      <w:r w:rsidR="00B7239F">
        <w:instrText xml:space="preserve"> ADDIN ZOTERO_ITEM CSL_CITATION {"citationID":"xiduv8VQ","properties":{"formattedCitation":"(Barreto, 2025)","plainCitation":"(Barreto, 2025)","noteIndex":0},"citationItems":[{"id":"NaBsQCiw/1rp1WWro","uris":["http://zotero.org/users/local/DMv4uL3N/items/39R5LNCD"],"itemData":{"id":17361,"type":"article","abstract":"O presente estudo tem como objetivo analisar as práticas de autogestão da aprendizagem e os \nprocessos de interação do estudante conectado no contexto da Educação a Distância (EaD), \nconsiderando os desafios, as demandas e as potencialidades oferecidas pelos ambientes virtuais \nde aprendizagem. A pesquisa, de natureza qualitativa e caráter exploratório, fundamenta-se em \numa pesquisa bibliográfica, cujas fontes foram selecionadas em bases de dados acadêmicas \nreconhecidas, como Scielo, CAPES, Google Acadêmico e periódicos especializados em \neducação, tecnologia e inovação pedagógica. A investigação busca compreender de que forma \nos \nestudantes mobilizam competências de organização, planejamento, disciplina, \nautorregulação e gestão do tempo, articuladas à capacidade de interação, colaboração e \nconstrução ativa do conhecimento em espaços digitais. Nesse cenário, observa-se que a \nconsolidação de práticas autogerenciais se torna um elemento indispensável para o \ndesenvolvimento de trajetórias formativas bem-sucedidas, especialmente quando mediadas por \nrecursos tecnológicos que exigem constante adaptação e protagonismo dos sujeitos. Além disso, \no estudo evidencia que a qualidade da interação nos ambientes virtuais não se limita aos \naspectos técnicos, mas envolve dimensões afetivas, comunicacionais e cognitivas, que \nimpactam diretamente no engajamento, na motivação e na construção coletiva do saber. Dessa \nforma, conclui-se que o estudante conectado na EaD precisa desenvolver não apenas \nhabilidades operacionais frente às tecnologias, mas, sobretudo, competências socioemocionais \ne cognitivas que favoreçam uma aprendizagem autônoma, colaborativa e alinhada às exigências \ncontemporâneas dos processos educacionais mediados digitalmente. \nPalavras-chave: Educação a Distância. Estudante Conectado. Autogestão da \nAprendizagem. Ambientes Virtuais. Interação Digital.    \nABSTRACT \nThis study aims to analyze self-management learning practices and the interaction processes of \nconnected students in the context of Distance Education (DE), considering the challenges, \ndemands, and potential offered by virtual learning environments. The research, of a qualitative \nand exploratory nature, is based on bibliographic research, whose sources were selected from \n1Graduação Licenciatura em Pedagogia. Pós Graduação em Psicopedagogia Clínica e Institucional, Letramento \nEd. Inclusive. Mestranda em Tecnologias Emergentes em Educação pela Must University. E-mail: \ndalvoribarreto24207@student.mustedu.com \n2 \nrecognized academic databases, such as Scielo, CAPES, Google Scholar, and journals \nspecialized in education, technology, and pedagogical innovation. The investigation seeks to \nunderstand how students mobilize organizational, planning, discipline, self-regulation, and time \nmanagement skills, linked to the capacity for interaction, collaboration, and active construction \nof knowledge in digital spaces. In this scenario, it is observed that the consolidation of self\nmanagement practices becomes an indispensable element for the development of successful \neducational trajectories, especially when mediated by technological resources that require \nconstant adaptation and protagonism from the subjects. Furthermore, the study shows that the \nquality of interaction in virtual environments is not limited to technical aspects, but involves \naffective, communicational and cognitive dimensions, which directly impact engagement, \nmotivation and the collective construction of knowledge. Thus, it is concluded that students \nconnected to distance learning need to develop not only operational skills in relation to \ntechnologies, but, above all, socio-emotional and cognitive skills that favor autonomous, \ncollaborative learning aligned with the contemporary demands of digitally mediated \neducational processes. \nKeywords: Distance Education. Connected Student. Self-Management of Learning. \nVirtual Environments. Digital Interaction.","DOI":"10.29327/7679177","publisher":"Outros","source":"DOI.org (Crossref)","title":"O ESTUDANTE CONECTADO NA EAD","URL":"https://publicacoes.even3.com.br/preprint/o-estudante-conectado-na-ead-6791777","author":[{"family":"Barreto","given":"Dalvori Terezinha"}],"accessed":{"date-parts":[["2026",9,23]]},"issued":{"date-parts":[["2025",10,20]]}}}],"schema":"https://github.com/citation-style-language/schema/raw/master/csl-citation.json"} </w:instrText>
      </w:r>
      <w:r w:rsidR="00CB37CF">
        <w:fldChar w:fldCharType="separate"/>
      </w:r>
      <w:r w:rsidR="00B7239F" w:rsidRPr="00B7239F">
        <w:t>(Barreto, 2025)</w:t>
      </w:r>
      <w:r w:rsidR="00CB37CF">
        <w:fldChar w:fldCharType="end"/>
      </w:r>
      <w:r w:rsidR="00105007">
        <w:t xml:space="preserve">; </w:t>
      </w:r>
      <w:r w:rsidR="00105007">
        <w:fldChar w:fldCharType="begin"/>
      </w:r>
      <w:r w:rsidR="00B7239F">
        <w:instrText xml:space="preserve"> ADDIN ZOTERO_ITEM CSL_CITATION {"citationID":"3QnOI4zz","properties":{"formattedCitation":"(Boyer et al., 2006)","plainCitation":"(Boyer et al., 2006)","noteIndex":0},"citationItems":[{"id":"NaBsQCiw/BSEdb98T","uris":["http://zotero.org/users/local/DMv4uL3N/items/IULIHDCG"],"itemData":{"id":17362,"type":"article-journal","abstract":"The purpose of this qualitative phenomenological research was to validate the findings from a previous exploratory study of transformative learning in a specific, primarily online, graduate course model. This study involved the systematic content analysis of the graduate students' reflective writings collected at specific intervals throughout each course semester. Construct validity of the content analysis was strengthened through the application of a coding rubric and data analysis triangulated across three researchers. The final results indicate that the phases of transformative learning were repeatedly evident in students' reflective discussion comments and that fundamental changes in preconceived ideas, beliefs, habits, or assumptions had occurred for approximately one fourth of the participants around the themes of course workload, fear of or incompetence with technology, social role priorities, the online self-directed course format, and collaborative learning. The instructor role was found to be a vital component in the facilitation of transformative learning.","container-title":"Journal of Transformative Education","DOI":"10.1177/1541344606295318","ISSN":"1541-3446, 1552-7840","issue":"4","journalAbbreviation":"Journal of Transformative Education","language":"en","license":"https://journals.sagepub.com/page/policies/text-and-data-mining-license","page":"335-361","source":"DOI.org (Crossref)","title":"Transformative Learning in Online Settings: The Use of Self-Direction, Metacognition, and Collaborative Learning","title-short":"Transformative Learning in Online Settings","volume":"4","author":[{"family":"Boyer","given":"Naomi R."},{"family":"Maher","given":"Patricia A."},{"family":"Kirkman","given":"Suzanne"}],"issued":{"date-parts":[["2006",10]]}}}],"schema":"https://github.com/citation-style-language/schema/raw/master/csl-citation.json"} </w:instrText>
      </w:r>
      <w:r w:rsidR="00105007">
        <w:fldChar w:fldCharType="separate"/>
      </w:r>
      <w:r w:rsidR="00B7239F" w:rsidRPr="00B7239F">
        <w:t>(Boyer et al., 2006)</w:t>
      </w:r>
      <w:r w:rsidR="00105007">
        <w:fldChar w:fldCharType="end"/>
      </w:r>
      <w:r w:rsidR="00105007">
        <w:t xml:space="preserve">. </w:t>
      </w:r>
      <w:r>
        <w:t>Fostering long-term academic autonomy requires instructional designs that balance structural guidance with opportunities for independent decision-making, ensuring that metacognitive habits endure beyond a single course. Ultimately, embedding reflective mechanics directly into asynchronous course architectures offers a scalable, pedagogically sound model for reducing psychological isolation, enhancing metacognitive maturity, and cultivating resilient distance learners across higher education programs</w:t>
      </w:r>
      <w:r w:rsidR="0066640A">
        <w:t>.</w:t>
      </w:r>
    </w:p>
    <w:p w14:paraId="60AEE134" w14:textId="77777777" w:rsidR="00E15788" w:rsidRPr="00320BD4" w:rsidRDefault="00E15788" w:rsidP="00AF6AA7">
      <w:pPr>
        <w:pStyle w:val="NormalWeb"/>
        <w:spacing w:before="0" w:beforeAutospacing="0" w:after="0" w:afterAutospacing="0"/>
        <w:ind w:firstLine="720"/>
        <w:jc w:val="both"/>
      </w:pPr>
    </w:p>
    <w:p w14:paraId="386E2A7F" w14:textId="6B8F75C1" w:rsidR="00320BD4" w:rsidRPr="0066640A" w:rsidRDefault="00320BD4" w:rsidP="00E15788">
      <w:pPr>
        <w:spacing w:after="0" w:line="240" w:lineRule="auto"/>
        <w:rPr>
          <w:rFonts w:ascii="Times New Roman" w:eastAsia="Times New Roman" w:hAnsi="Times New Roman" w:cs="Times New Roman"/>
          <w:i/>
          <w:iCs/>
          <w:kern w:val="0"/>
          <w:sz w:val="24"/>
          <w:szCs w:val="24"/>
          <w14:ligatures w14:val="none"/>
        </w:rPr>
      </w:pPr>
      <w:r w:rsidRPr="0066640A">
        <w:rPr>
          <w:rFonts w:ascii="Times New Roman" w:eastAsia="Times New Roman" w:hAnsi="Times New Roman" w:cs="Times New Roman"/>
          <w:i/>
          <w:iCs/>
          <w:kern w:val="0"/>
          <w:sz w:val="24"/>
          <w:szCs w:val="24"/>
          <w14:ligatures w14:val="none"/>
        </w:rPr>
        <w:t>Pedagogical Implications for Distance Educators</w:t>
      </w:r>
    </w:p>
    <w:p w14:paraId="098589EE" w14:textId="39BAF2CE" w:rsidR="00C0474F" w:rsidRPr="0066640A" w:rsidRDefault="00320BD4" w:rsidP="0066640A">
      <w:pPr>
        <w:spacing w:after="0" w:line="240" w:lineRule="auto"/>
        <w:ind w:firstLine="720"/>
        <w:jc w:val="both"/>
        <w:rPr>
          <w:rFonts w:ascii="Times New Roman" w:hAnsi="Times New Roman" w:cs="Times New Roman"/>
        </w:rPr>
      </w:pPr>
      <w:r w:rsidRPr="0066640A">
        <w:rPr>
          <w:rFonts w:ascii="Times New Roman" w:eastAsia="Times New Roman" w:hAnsi="Times New Roman" w:cs="Times New Roman"/>
          <w:kern w:val="0"/>
          <w:sz w:val="24"/>
          <w:szCs w:val="24"/>
          <w14:ligatures w14:val="none"/>
        </w:rPr>
        <w:lastRenderedPageBreak/>
        <w:t>The findings from this study offer three primary instructional design principles for distance education:</w:t>
      </w:r>
      <w:r w:rsidR="0066640A" w:rsidRPr="0066640A">
        <w:rPr>
          <w:rFonts w:ascii="Times New Roman" w:eastAsia="Times New Roman" w:hAnsi="Times New Roman" w:cs="Times New Roman"/>
          <w:kern w:val="0"/>
          <w:sz w:val="24"/>
          <w:szCs w:val="24"/>
          <w14:ligatures w14:val="none"/>
        </w:rPr>
        <w:t xml:space="preserve"> </w:t>
      </w:r>
      <w:r w:rsidRPr="0066640A">
        <w:rPr>
          <w:rFonts w:ascii="Times New Roman" w:eastAsia="Times New Roman" w:hAnsi="Times New Roman" w:cs="Times New Roman"/>
          <w:kern w:val="0"/>
          <w:sz w:val="24"/>
          <w:szCs w:val="24"/>
          <w14:ligatures w14:val="none"/>
        </w:rPr>
        <w:t>Embed Process Supports into Content Design: Learning management systems should not merely serve as document repositories. Scaffolds for goal-setting and reflection must be integrated as mandatory, low-stakes learning steps alongside readings and lectures</w:t>
      </w:r>
      <w:r w:rsidR="0066640A" w:rsidRPr="0066640A">
        <w:rPr>
          <w:rFonts w:ascii="Times New Roman" w:eastAsia="Times New Roman" w:hAnsi="Times New Roman" w:cs="Times New Roman"/>
          <w:kern w:val="0"/>
          <w:sz w:val="24"/>
          <w:szCs w:val="24"/>
          <w14:ligatures w14:val="none"/>
        </w:rPr>
        <w:t xml:space="preserve">; </w:t>
      </w:r>
      <w:r w:rsidRPr="0066640A">
        <w:rPr>
          <w:rFonts w:ascii="Times New Roman" w:eastAsia="Times New Roman" w:hAnsi="Times New Roman" w:cs="Times New Roman"/>
          <w:kern w:val="0"/>
          <w:sz w:val="24"/>
          <w:szCs w:val="24"/>
          <w14:ligatures w14:val="none"/>
        </w:rPr>
        <w:t>Balance Flexibility with Pacing: While asynchronous learning values flexibility, unanchored flexibility leads to procrastination. Micro-deadlines combined with weekly planning scaffolds help students establish consistent study habits</w:t>
      </w:r>
      <w:r w:rsidR="0066640A" w:rsidRPr="0066640A">
        <w:rPr>
          <w:rFonts w:ascii="Times New Roman" w:eastAsia="Times New Roman" w:hAnsi="Times New Roman" w:cs="Times New Roman"/>
          <w:kern w:val="0"/>
          <w:sz w:val="24"/>
          <w:szCs w:val="24"/>
          <w14:ligatures w14:val="none"/>
        </w:rPr>
        <w:t xml:space="preserve">; </w:t>
      </w:r>
      <w:r w:rsidRPr="0066640A">
        <w:rPr>
          <w:rFonts w:ascii="Times New Roman" w:eastAsia="Times New Roman" w:hAnsi="Times New Roman" w:cs="Times New Roman"/>
          <w:kern w:val="0"/>
          <w:sz w:val="24"/>
          <w:szCs w:val="24"/>
          <w14:ligatures w14:val="none"/>
        </w:rPr>
        <w:t>Prioritize Low-Overhead Metacognitive Tools: Effective instructional interventions do not require complex software; simple, well-timed reflective prompts significantly boost learner self-efficacy and reduce online fatigue.</w:t>
      </w:r>
      <w:r w:rsidR="0066640A" w:rsidRPr="0066640A">
        <w:rPr>
          <w:rFonts w:ascii="Times New Roman" w:eastAsia="Times New Roman" w:hAnsi="Times New Roman" w:cs="Times New Roman"/>
          <w:kern w:val="0"/>
          <w:sz w:val="24"/>
          <w:szCs w:val="24"/>
          <w14:ligatures w14:val="none"/>
        </w:rPr>
        <w:t xml:space="preserve"> </w:t>
      </w:r>
      <w:r w:rsidR="00C0474F" w:rsidRPr="0066640A">
        <w:rPr>
          <w:rFonts w:ascii="Times New Roman" w:hAnsi="Times New Roman" w:cs="Times New Roman"/>
        </w:rPr>
        <w:t xml:space="preserve">The empirical and qualitative findings of this study translate into crucial instructional design principles that fundamentally redefine how distance </w:t>
      </w:r>
      <w:r w:rsidR="005D0A88" w:rsidRPr="0066640A">
        <w:rPr>
          <w:rFonts w:ascii="Times New Roman" w:hAnsi="Times New Roman" w:cs="Times New Roman"/>
        </w:rPr>
        <w:t xml:space="preserve">an </w:t>
      </w:r>
      <w:r w:rsidR="00C0474F" w:rsidRPr="0066640A">
        <w:rPr>
          <w:rFonts w:ascii="Times New Roman" w:hAnsi="Times New Roman" w:cs="Times New Roman"/>
        </w:rPr>
        <w:t xml:space="preserve">educators structure asynchronous learning environments. First, learning management systems (LMS) must transcend their conventional, passive role as digital document repositories and content archives by systematically embedding process-oriented learning supports directly into weekly module architectures </w:t>
      </w:r>
      <w:r w:rsidR="005D0A88" w:rsidRPr="0066640A">
        <w:rPr>
          <w:rFonts w:ascii="Times New Roman" w:hAnsi="Times New Roman" w:cs="Times New Roman"/>
        </w:rPr>
        <w:fldChar w:fldCharType="begin"/>
      </w:r>
      <w:r w:rsidR="00B7239F">
        <w:rPr>
          <w:rFonts w:ascii="Times New Roman" w:hAnsi="Times New Roman" w:cs="Times New Roman"/>
        </w:rPr>
        <w:instrText xml:space="preserve"> ADDIN ZOTERO_ITEM CSL_CITATION {"citationID":"TXl9sUU0","properties":{"formattedCitation":"(Draeger &amp; Winckelmann, 2020)","plainCitation":"(Draeger &amp; Winckelmann, 2020)","noteIndex":0},"citationItems":[{"id":"NaBsQCiw/PZxMW08N","uris":["http://zotero.org/users/local/DMv4uL3N/items/FLYXWPW5"],"itemData":{"id":17363,"type":"article-journal","abstract":"This essay explores ways instructors can be metacognitive about course design, including selecting tools in the Learning Management System (LMS) to support student learning. It offers strategies for being intentional about learning within the LMS and examples of online modules that can be directly incorporated into course instruction or can be self-contained, student-directed, and stand alone. These examples serve as a blueprint for creating predictable structures that offer guidance and opportunities for students to learn about their own learning. We also argue that purposeful use of LMS tools can provide opportunities for instructor to monitor student progress toward learning goals and make adjustments to their instructional method when appropriate.","container-title":"Journal of Teaching and Learning with Technology","DOI":"10.14434/jotlt.v9i1.29159","ISSN":"2165-2554","issue":"1","journalAbbreviation":"JoTLT","source":"DOI.org (Crossref)","title":"How Metacognitive Instructors Can Use Their Learning Management System to Facilitate Student Learning","URL":"https://scholarworks.iu.edu/journals/index.php/jotlt/article/view/29159","volume":"9","author":[{"family":"Draeger","given":"John"},{"family":"Winckelmann","given":"Brooke"}],"accessed":{"date-parts":[["2026",9,23]]},"issued":{"date-parts":[["2020",8,12]]}}}],"schema":"https://github.com/citation-style-language/schema/raw/master/csl-citation.json"} </w:instrText>
      </w:r>
      <w:r w:rsidR="005D0A88" w:rsidRPr="0066640A">
        <w:rPr>
          <w:rFonts w:ascii="Times New Roman" w:hAnsi="Times New Roman" w:cs="Times New Roman"/>
        </w:rPr>
        <w:fldChar w:fldCharType="separate"/>
      </w:r>
      <w:r w:rsidR="00B7239F" w:rsidRPr="00B7239F">
        <w:rPr>
          <w:rFonts w:ascii="Times New Roman" w:hAnsi="Times New Roman" w:cs="Times New Roman"/>
          <w:sz w:val="24"/>
        </w:rPr>
        <w:t>(Draeger &amp; Winckelmann, 2020)</w:t>
      </w:r>
      <w:r w:rsidR="005D0A88" w:rsidRPr="0066640A">
        <w:rPr>
          <w:rFonts w:ascii="Times New Roman" w:hAnsi="Times New Roman" w:cs="Times New Roman"/>
        </w:rPr>
        <w:fldChar w:fldCharType="end"/>
      </w:r>
      <w:r w:rsidR="001F5065" w:rsidRPr="0066640A">
        <w:rPr>
          <w:rFonts w:ascii="Times New Roman" w:hAnsi="Times New Roman" w:cs="Times New Roman"/>
        </w:rPr>
        <w:t xml:space="preserve">. </w:t>
      </w:r>
      <w:r w:rsidR="00C0474F" w:rsidRPr="0066640A">
        <w:rPr>
          <w:rFonts w:ascii="Times New Roman" w:hAnsi="Times New Roman" w:cs="Times New Roman"/>
        </w:rPr>
        <w:t>Instead of treating subject matter content and self-regulation skills as separate domains, instructional designers should integrate goal-setting activities, study planning guides, and self-reflection steps as mandatory, low-stakes learning checkpoints alongside readings and multimedia lectures. Purposeful integration of these process tools transforms the LMS from a static content hub into an active pedagogical environment, enabling educators to continuously monitor student engagement patterns, identify early signs of disengagement, and provide targeted feedback that helps students understand and refine their own learning habits</w:t>
      </w:r>
      <w:r w:rsidR="0066640A" w:rsidRPr="0066640A">
        <w:rPr>
          <w:rFonts w:ascii="Times New Roman" w:hAnsi="Times New Roman" w:cs="Times New Roman"/>
        </w:rPr>
        <w:t>.</w:t>
      </w:r>
    </w:p>
    <w:p w14:paraId="630930DF" w14:textId="1777A278" w:rsidR="00C0474F" w:rsidRPr="0066640A" w:rsidRDefault="00C0474F" w:rsidP="00C0474F">
      <w:pPr>
        <w:pStyle w:val="NormalWeb"/>
        <w:spacing w:before="0" w:beforeAutospacing="0" w:after="0" w:afterAutospacing="0"/>
        <w:ind w:firstLine="720"/>
        <w:jc w:val="both"/>
      </w:pPr>
      <w:r w:rsidRPr="0066640A">
        <w:t xml:space="preserve">Second, distance education models must establish a deliberate pedagogical balance between maintaining temporal flexibility and providing structured course pacing. While the primary appeal of asynchronous learning lies in its flexibility, unanchored learning schedules frequently induce chronic procrastination, cognitive overload, and eventual course abandonment among students who lack strong self-regulation skills </w:t>
      </w:r>
      <w:r w:rsidR="00536D50" w:rsidRPr="0066640A">
        <w:fldChar w:fldCharType="begin"/>
      </w:r>
      <w:r w:rsidR="00B7239F">
        <w:instrText xml:space="preserve"> ADDIN ZOTERO_ITEM CSL_CITATION {"citationID":"mlrW6Mc1","properties":{"formattedCitation":"(Sanga, 2019)","plainCitation":"(Sanga, 2019)","noteIndex":0},"citationItems":[{"id":"NaBsQCiw/e01lr0Ep","uris":["http://zotero.org/users/local/DMv4uL3N/items/8MVT83QL"],"itemData":{"id":17365,"type":"article-journal","abstract":"This study analyzed design and technological issues encountered by online course instructors as they taught 120 online courses while working with a designated instructional designer. After developing the courses and their approval in compliance with a set, standardized rubric, the implementation of the 120 courses brought out issues that required the assistance of an instructional designer. The study identified and analyzed specific issues that cut across most courses. The study presents implications to faculty, instructional designers, and administrators.","container-title":"Quarterly Review of Distance Education","DOI":"10.1108/QRDE-08-2019-0004","ISSN":"1528-3518, 2169-1266","issue":"1","language":"en","page":"35-45","source":"DOI.org (Crossref)","title":"Doing Instructional Design for Distance Education","volume":"20","author":[{"family":"Sanga","given":"Mapopa William"}],"issued":{"date-parts":[["2019",8,9]]}}}],"schema":"https://github.com/citation-style-language/schema/raw/master/csl-citation.json"} </w:instrText>
      </w:r>
      <w:r w:rsidR="00536D50" w:rsidRPr="0066640A">
        <w:fldChar w:fldCharType="separate"/>
      </w:r>
      <w:r w:rsidR="00B7239F" w:rsidRPr="00B7239F">
        <w:t>(Sanga, 2019)</w:t>
      </w:r>
      <w:r w:rsidR="00536D50" w:rsidRPr="0066640A">
        <w:fldChar w:fldCharType="end"/>
      </w:r>
      <w:r w:rsidRPr="0066640A">
        <w:t xml:space="preserve">; </w:t>
      </w:r>
      <w:r w:rsidR="00536D50" w:rsidRPr="0066640A">
        <w:fldChar w:fldCharType="begin"/>
      </w:r>
      <w:r w:rsidR="00B7239F">
        <w:instrText xml:space="preserve"> ADDIN ZOTERO_ITEM CSL_CITATION {"citationID":"q0OECjG4","properties":{"formattedCitation":"(Seidel et al., 2022)","plainCitation":"(Seidel et al., 2022)","noteIndex":0},"citationItems":[{"id":"NaBsQCiw/WDJxMmDe","uris":["http://zotero.org/users/local/DMv4uL3N/items/LZ48VCKQ"],"itemData":{"id":17366,"type":"chapter","container-title":"Innovations in Learning and Technology for the Workplace and Higher Education","DOI":"10.1007/978-3-030-90677-1_39","ISBN":"978-3-030-90676-4","language":"en","note":"collection-title: Lecture Notes in Networks and Systems","page":"409-424","publisher":"Springer International Publishing","publisher-place":"Cham","source":"DOI.org (Crossref)","title":"Approaching Adaptive Support for Self-regulated Learning","URL":"https://link.springer.com/10.1007/978-3-030-90677-1_39","volume":"349","editor":[{"family":"Guralnick","given":"David"},{"family":"Auer","given":"Michael E."},{"family":"Poce","given":"Antonella"}],"author":[{"family":"Seidel","given":"Niels"},{"family":"Karolyi","given":"Heike"},{"family":"Burchart","given":"Marc"},{"family":"De Witt","given":"Claudia"}],"accessed":{"date-parts":[["2026",9,23]]},"issued":{"date-parts":[["2022"]]}}}],"schema":"https://github.com/citation-style-language/schema/raw/master/csl-citation.json"} </w:instrText>
      </w:r>
      <w:r w:rsidR="00536D50" w:rsidRPr="0066640A">
        <w:fldChar w:fldCharType="separate"/>
      </w:r>
      <w:r w:rsidR="00B7239F" w:rsidRPr="00B7239F">
        <w:t>(Seidel et al., 2022)</w:t>
      </w:r>
      <w:r w:rsidR="00536D50" w:rsidRPr="0066640A">
        <w:fldChar w:fldCharType="end"/>
      </w:r>
      <w:r w:rsidR="00536D50" w:rsidRPr="0066640A">
        <w:t xml:space="preserve">. </w:t>
      </w:r>
      <w:r w:rsidRPr="0066640A">
        <w:t>Implementing structured micro-deadlines combined with weekly planning scaffolds provides the cognitive anchoring necessary to establish consistent study routines without sacrificing the temporal autonomy essential for non-traditional learners. Utilizing adaptive support mechanisms—such as weekly milestone trackers and semester planning guides—helps students systematically organize, monitor, and execute their academic workload, thereby reducing time-management friction and sustaining continuous behavioral momentum throughout the academic term</w:t>
      </w:r>
      <w:r w:rsidR="0066640A" w:rsidRPr="0066640A">
        <w:t>.</w:t>
      </w:r>
    </w:p>
    <w:p w14:paraId="72A4CACD" w14:textId="6590FEF8" w:rsidR="00C0474F" w:rsidRPr="0066640A" w:rsidRDefault="00C0474F" w:rsidP="005D0A88">
      <w:pPr>
        <w:pStyle w:val="NormalWeb"/>
        <w:spacing w:before="0" w:beforeAutospacing="0" w:after="0" w:afterAutospacing="0"/>
        <w:ind w:firstLine="720"/>
        <w:jc w:val="both"/>
      </w:pPr>
      <w:r w:rsidRPr="0066640A">
        <w:t xml:space="preserve">Third, the findings demonstrate that executing effective metacognitive interventions does not require complex technological infrastructure, high-cost software integrations, or sophisticated automated algorithms. Rather, deploying simple, strategically timed, low-overhead reflective prompts offers a highly scalable, sustainable mechanism that significantly boosts student self-efficacy and mitigates online learning fatigue </w:t>
      </w:r>
      <w:r w:rsidR="009D06A0" w:rsidRPr="0066640A">
        <w:fldChar w:fldCharType="begin"/>
      </w:r>
      <w:r w:rsidR="00B7239F">
        <w:instrText xml:space="preserve"> ADDIN ZOTERO_ITEM CSL_CITATION {"citationID":"cQi44bZg","properties":{"formattedCitation":"(Karagianni, 2024)","plainCitation":"(Karagianni, 2024)","noteIndex":0},"citationItems":[{"id":"NaBsQCiw/D1bf7czc","uris":["http://zotero.org/users/local/DMv4uL3N/items/BQDBHRKX"],"itemData":{"id":17357,"type":"article-journal","abstract":"Challenges in open and distance education are unique to the learner and generally result in a gap between what is desired and what is realized. This paper explores how metacognition works wonders in bridging this gap and leading to improved learning outcomes within Open and Distance Education (ODE) environments. Metacognitive strategies foster self-regulated learning and assist students in properly planning, monitoring, and assessing their learning processes. In line with this, this paper discusses how metacognition could make a difference in improving academic achievement, promoting independent learning, and building lifelong learning skills within ODE. We demonstrate, from in-depth research and analysis of best practices, how the integration of metacognitive approaches into practice could go a long way in closing the achievement gap and optimizing the educational experience for distance learners. The findings underscore the critical role of metacognition in letting students rise above intrinsic ODE difficulties toward superior learning outcomes.&lt;p&gt; &lt;/p&gt;&lt;p&gt;&lt;strong&gt; Article visualizations:&lt;/strong&gt;&lt;/p&gt;&lt;p&gt;&lt;img src=\"/-counters-/soc/0715/a.php\" alt=\"Hit counter\" /&gt;&lt;/p&gt;","container-title":"European Journal of Open Education and E-learning Studies","DOI":"10.46827/ejoe.v9i1.5567","ISSN":"25019120, 25019120","issue":"1","journalAbbreviation":"EJOE","source":"DOI.org (Crossref)","title":"METACOGNITION AS A CATALYST FOR IMPROVED LEARNING OUTCOMES IN OPEN &amp; DISTANCE EDUCATION","URL":"https://oapub.org/edu/index.php/ejoe/article/view/5567","volume":"9","author":[{"family":"Karagianni","given":"Georgia Konstantia"}],"accessed":{"date-parts":[["2026",9,23]]},"issued":{"date-parts":[["2024",9,4]]}}}],"schema":"https://github.com/citation-style-language/schema/raw/master/csl-citation.json"} </w:instrText>
      </w:r>
      <w:r w:rsidR="009D06A0" w:rsidRPr="0066640A">
        <w:fldChar w:fldCharType="separate"/>
      </w:r>
      <w:r w:rsidR="00B7239F" w:rsidRPr="00B7239F">
        <w:t>(Karagianni, 2024)</w:t>
      </w:r>
      <w:r w:rsidR="009D06A0" w:rsidRPr="0066640A">
        <w:fldChar w:fldCharType="end"/>
      </w:r>
      <w:r w:rsidR="009D06A0" w:rsidRPr="0066640A">
        <w:t xml:space="preserve">; </w:t>
      </w:r>
      <w:r w:rsidR="00E02FC6" w:rsidRPr="0066640A">
        <w:fldChar w:fldCharType="begin"/>
      </w:r>
      <w:r w:rsidR="00B7239F">
        <w:instrText xml:space="preserve"> ADDIN ZOTERO_ITEM CSL_CITATION {"citationID":"aPga7Px3","properties":{"formattedCitation":"(Fahyuni et al., 2023)","plainCitation":"(Fahyuni et al., 2023)","noteIndex":0},"citationItems":[{"id":"NaBsQCiw/cM82Pcq1","uris":["http://zotero.org/users/local/DMv4uL3N/items/3FS7SAWR"],"itemData":{"id":17369,"type":"article-journal","abstract":"The implementation of personalized e-learning at the Muhammadiyah University of Sidoarjo, especially the Faculty of Islamic Religion, has contributed to this trend of electronic-based learning. The use of e-learning has challenges, namely the need to master digital competence and the responsibilities of lecturers in guiding and directing students during online learning. The analysis used mixed ANOVA to determine the increase in student personalization through e-learning design. the results of the study showed that there were differences in the learning outcomes of the control and experimental groups. The results of the one way ANOVA analysis show differences in personalized learning achievement according to students' learning needs and potential. The more students interact and ask questions outside of class, the more actively they are involved in independent learning from home. This condition is not found in conventional e-learning, which is only carried out modestly by lecturers and students. They create a fun and more communicative learning atmosphere complemented by the reliability of adequate e-learning platform.\r\nHighlights:\r\n\r\nImplementation of personalized e-learning at Muhammadiyah University of Sidoarjo enhances electronic-based learning trend.\r\nChallenges include mastering digital competence and lecturer responsibilities in guiding online learning.\r\nMixed ANOVA analysis reveals differing learning outcomes between control and experimental groups.\r\n\r\nKeywords: Personalized e-learning, Digital competence, Mixed Anova analysis, Independent learning","container-title":"Academia Open","DOI":"10.21070/acopen.8.2023.7201","ISSN":"2714-7444","issue":"2","journalAbbreviation":"acopen","license":"https://creativecommons.org/licenses/by/4.0","source":"DOI.org (Crossref)","title":"Self-Regulated Learning Students With Personalized E-Learning","URL":"https://acopen.umsida.ac.id/index.php/acopen/article/view/7201","volume":"8","author":[{"family":"Fahyuni","given":"Eni Fariyatul"},{"family":"Taurusta","given":"Cindy"},{"family":"Rindaningsih","given":"Ida"},{"family":"Burhan","given":"Norhapizah Binti Mohd"},{"family":"Khuluqo","given":"Ihsana El"}],"accessed":{"date-parts":[["2026",9,23]]},"issued":{"date-parts":[["2023",8,15]]}}}],"schema":"https://github.com/citation-style-language/schema/raw/master/csl-citation.json"} </w:instrText>
      </w:r>
      <w:r w:rsidR="00E02FC6" w:rsidRPr="0066640A">
        <w:fldChar w:fldCharType="separate"/>
      </w:r>
      <w:r w:rsidR="00B7239F" w:rsidRPr="00B7239F">
        <w:t>(Fahyuni et al., 2023)</w:t>
      </w:r>
      <w:r w:rsidR="00E02FC6" w:rsidRPr="0066640A">
        <w:fldChar w:fldCharType="end"/>
      </w:r>
      <w:r w:rsidR="00E02FC6" w:rsidRPr="0066640A">
        <w:t xml:space="preserve">. </w:t>
      </w:r>
      <w:r w:rsidRPr="0066640A">
        <w:t>Integrating brief, end-of-module reflection exercises directly into routine workflow tasks prompts distance learners to regularly evaluate their study habits, recognize personal cognitive bottlenecks, and recalibrate their approaches for upcoming assignments</w:t>
      </w:r>
      <w:r w:rsidR="0066640A" w:rsidRPr="0066640A">
        <w:t xml:space="preserve"> </w:t>
      </w:r>
      <w:r w:rsidR="00E02FC6" w:rsidRPr="0066640A">
        <w:fldChar w:fldCharType="begin"/>
      </w:r>
      <w:r w:rsidR="00B7239F">
        <w:instrText xml:space="preserve"> ADDIN ZOTERO_ITEM CSL_CITATION {"citationID":"LsNCZdxf","properties":{"formattedCitation":"(Alpat &amp; Parlak, 2025)","plainCitation":"(Alpat &amp; Parlak, 2025)","noteIndex":0},"citationItems":[{"id":"NaBsQCiw/CiPIxNZR","uris":["http://zotero.org/users/local/DMv4uL3N/items/UBI29VC2"],"itemData":{"id":17370,"type":"article-journal","abstract":"Bu çalışma, 2022–2025 döneminde yayımlanan uluslararası ve ulusal kaynaklar ışığında “açık ve uzaktan eğitimde öz-düzenlemeli öğrenenlerin özellikleri”ni belirlemek amacıyla yürütülen sistematik bir literatür incelemesidir. Araştırma, Web of Science, Scopus, Google Scholar, ULAKBİM ve YÖK Tez Merkezi gibi veri tabanlarında “öz-düzenlemeli öğrenme”, “açık eğitim”, “uzaktan öğrenme” anahtar kelimeleriyle yapılan taramalar sonucunda 62 adet makaleyi kapsamıştır. Çalışmada, bilişsel stratejiler, zaman yönetimi, motivasyonel inançlar, erteleme davranışı ve sosyal etkileşim başlıkları altında kodlanan bulgular, iki araştırmacı tarafından bağımsız olarak tematik kodlamaya tabi tutulmuş ve karşılaştırmalı olarak sentezlenmiştir. Bulgular, öz-düzenlemeli öğrenenlerin hedef belirleme, kendi öğrenme ortamlarını planlama, içsel motivasyonlarını koruma ve çevrimiçi sosyal iş birliğine katılma konularında öne çıktıklarını göstermiştir. Ayrıca öğretmen varlığının, süreç odaklı değerlendirmenin ve teknoloji destekli geri bildirim mekanizmalarının bu öğrencilerin öz-düzenleme becerilerini güçlendirdiği sonucuna ulaşılmıştır. Çalışma, açık ve uzaktan eğitim tasarımlarında öğrenci merkezli yaklaşımların benimsenmesi ve öz-düzenlemeyi destekleyen stratejilerin geliştirilmesi gerektiğini vurgular.\n          , \n            This study presents a systematic literature review conducted on “characteristics of self-regulated learners in open and distance education” based on research published between 2022 and 2025. The review included 62 peer-reviewed articles identified through database searches in Web of Science, Scopus, Google Scholar, ULAKBİM, and the YÖK Thesis Center using the keywords “self-regulated learning,” “open education,” and “distance learning.” Extracted findings were thematically coded under dimensions such as cognitive strategies, time management, motivational beliefs, procrastination behavior, and social interaction by two independent researchers. Results indicate that self-regulated learners excel at setting learning goals, planning their own learning environments, maintaining intrinsic motivation, and engaging in online collaborative activities. Additionally, teacher presence, process-oriented assessment, and technology-supported feedback mechanisms have been found to enhance these learners’ self-regulation capacities. The study underscores the importance of adopting learner-centered designs and integrating strategies that explicitly support self-regulation in open and distance education contexts.","container-title":"Journal of Ibn Haldun Studies, Ibn Haldun University","DOI":"10.36657/ihcd.2025.142","ISSN":"2651-379X","journalAbbreviation":"ihcd","language":"en","page":"2","source":"DOI.org (Crossref)","title":"Öz-Düzenleme: Uzaktan Eğitimde Öğrencinin Pusulası","title-short":"Öz-Düzenleme","author":[{"family":"Alpat","given":"Muhammet Furkan"},{"family":"Parlak","given":"Sude"}],"issued":{"date-parts":[["2025",8,25]]}}}],"schema":"https://github.com/citation-style-language/schema/raw/master/csl-citation.json"} </w:instrText>
      </w:r>
      <w:r w:rsidR="00E02FC6" w:rsidRPr="0066640A">
        <w:fldChar w:fldCharType="separate"/>
      </w:r>
      <w:r w:rsidR="00B7239F" w:rsidRPr="00B7239F">
        <w:t>(Alpat &amp; Parlak, 2025)</w:t>
      </w:r>
      <w:r w:rsidR="00E02FC6" w:rsidRPr="0066640A">
        <w:fldChar w:fldCharType="end"/>
      </w:r>
      <w:r w:rsidR="006F4085" w:rsidRPr="0066640A">
        <w:t xml:space="preserve">. </w:t>
      </w:r>
      <w:r w:rsidRPr="0066640A">
        <w:t>This low-overhead design ensures that metacognitive support remains manageable for instructors while delivering meaningful, continuous learning strategy reinforcement for students.</w:t>
      </w:r>
    </w:p>
    <w:p w14:paraId="2DA3B69D" w14:textId="5B0A6333" w:rsidR="00C0474F" w:rsidRPr="00320BD4" w:rsidRDefault="00C0474F" w:rsidP="003228DA">
      <w:pPr>
        <w:pStyle w:val="NormalWeb"/>
        <w:spacing w:before="0" w:beforeAutospacing="0" w:after="0" w:afterAutospacing="0"/>
        <w:ind w:firstLine="720"/>
        <w:jc w:val="both"/>
      </w:pPr>
      <w:r w:rsidRPr="0066640A">
        <w:t xml:space="preserve">Ultimately, these pedagogical implications offer a practical, scalable blueprint for higher education institutions seeking to improve retention and learning outcomes in asynchronous digital programs. Shifting the instructional focus from passive content transmission to process-oriented cognitive support creates a more responsive digital learning environment that cultivates </w:t>
      </w:r>
      <w:r w:rsidRPr="0066640A">
        <w:lastRenderedPageBreak/>
        <w:t>autonomous, resilient learners. By embedding process supports directly into LMS architectures, balancing flexible access with clear pacing structures, and utilizing low-overhead metacognitive tools, distance educators can systematically bridge the gap between content availability and student self-regulation, ensuring long-term academic persistence and success across diverse student population</w:t>
      </w:r>
      <w:r w:rsidR="0066640A" w:rsidRPr="0066640A">
        <w:t xml:space="preserve">. </w:t>
      </w:r>
    </w:p>
    <w:p w14:paraId="35FFE914" w14:textId="546ED07D" w:rsidR="00320BD4" w:rsidRPr="00B91993" w:rsidRDefault="003228DA" w:rsidP="00320BD4">
      <w:pPr>
        <w:spacing w:before="100" w:beforeAutospacing="1" w:after="100" w:afterAutospacing="1" w:line="240" w:lineRule="auto"/>
        <w:outlineLvl w:val="2"/>
        <w:rPr>
          <w:rFonts w:ascii="Times New Roman" w:eastAsia="Times New Roman" w:hAnsi="Times New Roman" w:cs="Times New Roman"/>
          <w:b/>
          <w:bCs/>
          <w:kern w:val="0"/>
          <w:sz w:val="24"/>
          <w:szCs w:val="24"/>
          <w14:ligatures w14:val="none"/>
        </w:rPr>
      </w:pPr>
      <w:r w:rsidRPr="00B91993">
        <w:rPr>
          <w:rFonts w:ascii="Times New Roman" w:eastAsia="Times New Roman" w:hAnsi="Times New Roman" w:cs="Times New Roman"/>
          <w:b/>
          <w:bCs/>
          <w:kern w:val="0"/>
          <w:sz w:val="24"/>
          <w:szCs w:val="24"/>
          <w14:ligatures w14:val="none"/>
        </w:rPr>
        <w:t xml:space="preserve">Conclusion </w:t>
      </w:r>
    </w:p>
    <w:p w14:paraId="3A412F5D" w14:textId="55488201" w:rsidR="003228DA" w:rsidRDefault="00AC3139" w:rsidP="000F55A8">
      <w:pPr>
        <w:pStyle w:val="NormalWeb"/>
        <w:spacing w:before="0" w:beforeAutospacing="0" w:after="0" w:afterAutospacing="0"/>
        <w:ind w:firstLine="720"/>
        <w:jc w:val="both"/>
      </w:pPr>
      <w:r>
        <w:t xml:space="preserve">This study was motivated by the persistent challenges of student disengagement, high attrition rates, and the psychological burden of transactional distance in asynchronous distance higher education, where learners often struggle due to a systemic lack of explicit support for Self-Regulated Learning (SRL). To address this critical gap, the primary objective of this research was to design, implement, and empirically evaluate a low-overhead, triadic SRL instructional scaffolding framework—comprising weekly goal-setting templates, real-time visual progress dashboards, and metacognitive reflection prompts—to assess its impact on student engagement, self-efficacy, and online course persistence. The empirical and qualitative findings demonstrate that embedding process-oriented SRL scaffolds directly into LMS workflows yields significant academic benefits. Quantitatively, the experimental cohort exhibited marked statistical superiority over the control group across all primary engagement metrics, including an 88.6% module completion rate, an 85.1% on-time assignment submission rate, a 91.6% retention rate, and a substantial increase in post-intervention OSLQ scores (4.12 vs. 3.24, </w:t>
      </w:r>
      <w:r>
        <w:rPr>
          <w:rStyle w:val="math-inline"/>
        </w:rPr>
        <w:t>p &lt; 0.001</w:t>
      </w:r>
      <w:r>
        <w:t>). Qualitatively, the reflection prompts served as an "invisible instructor," effectively reducing perceived transactional distance, fostering an internal locus of control, and helping students establish consistent study discipline without sacrificing asynchronous temporal flexibility. The pedagogical implications of these results emphasize a shift in distance education design from passive content transmission to active, process-supported learning environments. Distance educators and instructional designers are encouraged to embed low-stakes metacognitive checkpoints into routine course tasks, strike a deliberate balance between flexible schedules and structured micro-pacing, and leverage low-overhead, highly scalable reflective tools rather than relying on complex, resource-intensive software. Despite these positive outcomes, this study has notable limitations. The quasi-experimental evaluation was conducted within a single undergraduate course at one institution over a 12-week timeframe, which may limit the generalizability of the findings across diverse academic disciplines, highly practical/laboratory-based courses, or multi-year degree trajectories. Additionally, the study relied on short-term post-intervention assessments without measuring the long-term maintenance of self-regulation habits. Future research should investigate the longitudinal transferability of embedded SRL scaffolds across entire academic programs, explore their integration within collaborative online group tasks, and examine how artificial intelligence and adaptive LMS analytics can personalize real-time SRL feedback for diverse learner profiles.</w:t>
      </w:r>
    </w:p>
    <w:p w14:paraId="2A549B33" w14:textId="77777777" w:rsidR="00B7239F" w:rsidRPr="00B7239F" w:rsidRDefault="00B7239F" w:rsidP="00B7239F">
      <w:pPr>
        <w:spacing w:after="0" w:line="240" w:lineRule="auto"/>
        <w:jc w:val="both"/>
        <w:rPr>
          <w:rFonts w:ascii="Times New Roman" w:eastAsia="Book Antiqua" w:hAnsi="Times New Roman" w:cs="Times New Roman"/>
          <w:color w:val="000000"/>
          <w:sz w:val="24"/>
          <w:szCs w:val="24"/>
          <w:lang w:val="en-ID"/>
        </w:rPr>
      </w:pPr>
    </w:p>
    <w:p w14:paraId="3A6A13B1" w14:textId="745347B6" w:rsidR="00B7239F" w:rsidRDefault="00B7239F" w:rsidP="00B7239F">
      <w:pPr>
        <w:spacing w:after="0" w:line="240" w:lineRule="auto"/>
        <w:jc w:val="both"/>
        <w:rPr>
          <w:rFonts w:ascii="Times New Roman" w:hAnsi="Times New Roman" w:cs="Times New Roman"/>
          <w:b/>
          <w:bCs/>
          <w:iCs/>
          <w:color w:val="000000"/>
          <w:sz w:val="24"/>
          <w:szCs w:val="24"/>
        </w:rPr>
      </w:pPr>
      <w:bookmarkStart w:id="1" w:name="_Hlk214979553"/>
      <w:r w:rsidRPr="00B7239F">
        <w:rPr>
          <w:rFonts w:ascii="Times New Roman" w:hAnsi="Times New Roman" w:cs="Times New Roman"/>
          <w:b/>
          <w:bCs/>
          <w:iCs/>
          <w:color w:val="000000"/>
          <w:sz w:val="24"/>
          <w:szCs w:val="24"/>
        </w:rPr>
        <w:t xml:space="preserve">Conflicts of </w:t>
      </w:r>
      <w:r w:rsidR="00B91993">
        <w:rPr>
          <w:rFonts w:ascii="Times New Roman" w:hAnsi="Times New Roman" w:cs="Times New Roman"/>
          <w:b/>
          <w:bCs/>
          <w:iCs/>
          <w:color w:val="000000"/>
          <w:sz w:val="24"/>
          <w:szCs w:val="24"/>
        </w:rPr>
        <w:t>i</w:t>
      </w:r>
      <w:r w:rsidRPr="00B7239F">
        <w:rPr>
          <w:rFonts w:ascii="Times New Roman" w:hAnsi="Times New Roman" w:cs="Times New Roman"/>
          <w:b/>
          <w:bCs/>
          <w:iCs/>
          <w:color w:val="000000"/>
          <w:sz w:val="24"/>
          <w:szCs w:val="24"/>
        </w:rPr>
        <w:t>nterest</w:t>
      </w:r>
    </w:p>
    <w:p w14:paraId="399F2E8F" w14:textId="77777777" w:rsidR="00B91993" w:rsidRPr="00B7239F" w:rsidRDefault="00B91993" w:rsidP="00B7239F">
      <w:pPr>
        <w:spacing w:after="0" w:line="240" w:lineRule="auto"/>
        <w:jc w:val="both"/>
        <w:rPr>
          <w:rFonts w:ascii="Times New Roman" w:hAnsi="Times New Roman" w:cs="Times New Roman"/>
          <w:b/>
          <w:bCs/>
          <w:iCs/>
          <w:color w:val="000000"/>
          <w:sz w:val="24"/>
          <w:szCs w:val="24"/>
        </w:rPr>
      </w:pPr>
    </w:p>
    <w:bookmarkEnd w:id="1"/>
    <w:p w14:paraId="332508E9" w14:textId="6A33C69F" w:rsidR="00B7239F" w:rsidRDefault="00B7239F" w:rsidP="00B91993">
      <w:pPr>
        <w:pStyle w:val="NormalWeb"/>
        <w:spacing w:before="0" w:beforeAutospacing="0" w:after="0" w:afterAutospacing="0"/>
        <w:ind w:firstLine="720"/>
        <w:jc w:val="both"/>
        <w:rPr>
          <w:iCs/>
          <w:color w:val="000000"/>
        </w:rPr>
      </w:pPr>
      <w:r w:rsidRPr="00B7239F">
        <w:rPr>
          <w:iCs/>
          <w:color w:val="000000"/>
        </w:rPr>
        <w:t>The author declares no conflict of interest</w:t>
      </w:r>
      <w:r>
        <w:rPr>
          <w:iCs/>
          <w:color w:val="000000"/>
        </w:rPr>
        <w:t>.</w:t>
      </w:r>
    </w:p>
    <w:p w14:paraId="2C19B5C9" w14:textId="77777777" w:rsidR="002821F7" w:rsidRDefault="002821F7" w:rsidP="00B91993">
      <w:pPr>
        <w:pStyle w:val="NormalWeb"/>
        <w:spacing w:before="0" w:beforeAutospacing="0" w:after="0" w:afterAutospacing="0"/>
        <w:ind w:firstLine="720"/>
        <w:jc w:val="both"/>
        <w:rPr>
          <w:iCs/>
          <w:color w:val="000000"/>
        </w:rPr>
      </w:pPr>
    </w:p>
    <w:p w14:paraId="5E9F32B9" w14:textId="77777777" w:rsidR="002821F7" w:rsidRPr="002821F7" w:rsidRDefault="002821F7" w:rsidP="002821F7">
      <w:pPr>
        <w:spacing w:after="0"/>
        <w:rPr>
          <w:rFonts w:ascii="Times New Roman" w:hAnsi="Times New Roman" w:cs="Times New Roman"/>
          <w:b/>
          <w:bCs/>
          <w:sz w:val="24"/>
          <w:szCs w:val="24"/>
        </w:rPr>
      </w:pPr>
      <w:r w:rsidRPr="002821F7">
        <w:rPr>
          <w:rFonts w:ascii="Times New Roman" w:hAnsi="Times New Roman" w:cs="Times New Roman"/>
          <w:b/>
          <w:bCs/>
          <w:spacing w:val="-2"/>
          <w:sz w:val="24"/>
          <w:szCs w:val="24"/>
        </w:rPr>
        <w:t>Funding</w:t>
      </w:r>
    </w:p>
    <w:p w14:paraId="1C69C48B" w14:textId="77777777" w:rsidR="002821F7" w:rsidRPr="000722EE" w:rsidRDefault="002821F7" w:rsidP="002821F7">
      <w:pPr>
        <w:spacing w:after="0"/>
        <w:rPr>
          <w:rFonts w:asciiTheme="majorBidi" w:hAnsiTheme="majorBidi" w:cstheme="majorBidi"/>
          <w:b/>
          <w:bCs/>
          <w:sz w:val="24"/>
          <w:szCs w:val="24"/>
        </w:rPr>
      </w:pPr>
    </w:p>
    <w:p w14:paraId="20A5BA1A" w14:textId="77777777" w:rsidR="002821F7" w:rsidRPr="000722EE" w:rsidRDefault="002821F7" w:rsidP="002821F7">
      <w:pPr>
        <w:spacing w:after="0"/>
        <w:ind w:firstLine="720"/>
        <w:rPr>
          <w:rFonts w:asciiTheme="majorBidi" w:hAnsiTheme="majorBidi" w:cstheme="majorBidi"/>
          <w:sz w:val="24"/>
          <w:szCs w:val="24"/>
        </w:rPr>
      </w:pPr>
      <w:r w:rsidRPr="000722EE">
        <w:rPr>
          <w:rFonts w:asciiTheme="majorBidi" w:hAnsiTheme="majorBidi" w:cstheme="majorBidi"/>
          <w:sz w:val="24"/>
          <w:szCs w:val="24"/>
        </w:rPr>
        <w:lastRenderedPageBreak/>
        <w:t>This research received no external funding.</w:t>
      </w:r>
    </w:p>
    <w:p w14:paraId="7FAF26FF" w14:textId="77777777" w:rsidR="002821F7" w:rsidRDefault="002821F7" w:rsidP="00B91993">
      <w:pPr>
        <w:pStyle w:val="NormalWeb"/>
        <w:spacing w:before="0" w:beforeAutospacing="0" w:after="0" w:afterAutospacing="0"/>
        <w:ind w:firstLine="720"/>
        <w:jc w:val="both"/>
      </w:pPr>
    </w:p>
    <w:p w14:paraId="66FDF13E" w14:textId="77777777" w:rsidR="002821F7" w:rsidRPr="00B7239F" w:rsidRDefault="002821F7" w:rsidP="002821F7">
      <w:pPr>
        <w:spacing w:after="0" w:line="240" w:lineRule="auto"/>
        <w:jc w:val="both"/>
        <w:rPr>
          <w:rFonts w:ascii="Times New Roman" w:eastAsia="Book Antiqua" w:hAnsi="Times New Roman" w:cs="Times New Roman"/>
          <w:b/>
          <w:bCs/>
          <w:sz w:val="24"/>
          <w:szCs w:val="24"/>
        </w:rPr>
      </w:pPr>
      <w:r w:rsidRPr="00B7239F">
        <w:rPr>
          <w:rFonts w:ascii="Times New Roman" w:eastAsia="Book Antiqua" w:hAnsi="Times New Roman" w:cs="Times New Roman"/>
          <w:b/>
          <w:bCs/>
          <w:sz w:val="24"/>
          <w:szCs w:val="24"/>
        </w:rPr>
        <w:t>Author Contributions</w:t>
      </w:r>
    </w:p>
    <w:p w14:paraId="371CBB1B" w14:textId="77777777" w:rsidR="002821F7" w:rsidRDefault="002821F7" w:rsidP="002821F7">
      <w:pPr>
        <w:spacing w:after="0" w:line="240" w:lineRule="auto"/>
        <w:jc w:val="both"/>
        <w:rPr>
          <w:rFonts w:ascii="Times New Roman" w:hAnsi="Times New Roman" w:cs="Times New Roman"/>
          <w:sz w:val="24"/>
          <w:szCs w:val="24"/>
        </w:rPr>
      </w:pPr>
      <w:bookmarkStart w:id="2" w:name="_Hlk170319846"/>
    </w:p>
    <w:p w14:paraId="6442BDA5" w14:textId="77777777" w:rsidR="002821F7" w:rsidRPr="00B7239F" w:rsidRDefault="002821F7" w:rsidP="002821F7">
      <w:pPr>
        <w:spacing w:after="0" w:line="240" w:lineRule="auto"/>
        <w:ind w:firstLine="720"/>
        <w:jc w:val="both"/>
        <w:rPr>
          <w:rFonts w:ascii="Times New Roman" w:hAnsi="Times New Roman" w:cs="Times New Roman"/>
          <w:sz w:val="24"/>
          <w:szCs w:val="24"/>
        </w:rPr>
      </w:pPr>
      <w:r w:rsidRPr="00B7239F">
        <w:rPr>
          <w:rFonts w:ascii="Times New Roman" w:hAnsi="Times New Roman" w:cs="Times New Roman"/>
          <w:sz w:val="24"/>
          <w:szCs w:val="24"/>
        </w:rPr>
        <w:t>Conceptualization;</w:t>
      </w:r>
      <w:r w:rsidRPr="00B7239F">
        <w:rPr>
          <w:rFonts w:ascii="Times New Roman" w:hAnsi="Times New Roman" w:cs="Times New Roman"/>
          <w:sz w:val="24"/>
          <w:szCs w:val="24"/>
          <w:lang w:val="id-ID"/>
        </w:rPr>
        <w:t xml:space="preserve"> </w:t>
      </w:r>
      <w:r w:rsidRPr="00B7239F">
        <w:rPr>
          <w:rFonts w:ascii="Times New Roman" w:hAnsi="Times New Roman" w:cs="Times New Roman"/>
          <w:sz w:val="24"/>
          <w:szCs w:val="24"/>
        </w:rPr>
        <w:t>methodology</w:t>
      </w:r>
      <w:r w:rsidRPr="00B7239F">
        <w:rPr>
          <w:rFonts w:ascii="Times New Roman" w:hAnsi="Times New Roman" w:cs="Times New Roman"/>
          <w:sz w:val="24"/>
          <w:szCs w:val="24"/>
          <w:lang w:val="id-ID"/>
        </w:rPr>
        <w:t>.</w:t>
      </w:r>
      <w:r w:rsidRPr="00B7239F">
        <w:rPr>
          <w:rFonts w:ascii="Times New Roman" w:hAnsi="Times New Roman" w:cs="Times New Roman"/>
          <w:sz w:val="24"/>
          <w:szCs w:val="24"/>
        </w:rPr>
        <w:t>;</w:t>
      </w:r>
      <w:r w:rsidRPr="00B7239F">
        <w:rPr>
          <w:rFonts w:ascii="Times New Roman" w:hAnsi="Times New Roman" w:cs="Times New Roman"/>
          <w:sz w:val="24"/>
          <w:szCs w:val="24"/>
          <w:lang w:val="id-ID"/>
        </w:rPr>
        <w:t xml:space="preserve"> </w:t>
      </w:r>
      <w:r w:rsidRPr="00B7239F">
        <w:rPr>
          <w:rFonts w:ascii="Times New Roman" w:hAnsi="Times New Roman" w:cs="Times New Roman"/>
          <w:sz w:val="24"/>
          <w:szCs w:val="24"/>
        </w:rPr>
        <w:t>validation;</w:t>
      </w:r>
      <w:r w:rsidRPr="00B7239F">
        <w:rPr>
          <w:rFonts w:ascii="Times New Roman" w:hAnsi="Times New Roman" w:cs="Times New Roman"/>
          <w:sz w:val="24"/>
          <w:szCs w:val="24"/>
          <w:lang w:val="id-ID"/>
        </w:rPr>
        <w:t xml:space="preserve"> </w:t>
      </w:r>
      <w:r w:rsidRPr="00B7239F">
        <w:rPr>
          <w:rFonts w:ascii="Times New Roman" w:hAnsi="Times New Roman" w:cs="Times New Roman"/>
          <w:sz w:val="24"/>
          <w:szCs w:val="24"/>
        </w:rPr>
        <w:t>formal analysis</w:t>
      </w:r>
      <w:r w:rsidRPr="00B7239F">
        <w:rPr>
          <w:rFonts w:ascii="Times New Roman" w:hAnsi="Times New Roman" w:cs="Times New Roman"/>
          <w:sz w:val="24"/>
          <w:szCs w:val="24"/>
          <w:lang w:val="id-ID"/>
        </w:rPr>
        <w:t xml:space="preserve">; </w:t>
      </w:r>
      <w:r w:rsidRPr="00B7239F">
        <w:rPr>
          <w:rFonts w:ascii="Times New Roman" w:hAnsi="Times New Roman" w:cs="Times New Roman"/>
          <w:sz w:val="24"/>
          <w:szCs w:val="24"/>
        </w:rPr>
        <w:t>investigation</w:t>
      </w:r>
      <w:r w:rsidRPr="00B7239F">
        <w:rPr>
          <w:rFonts w:ascii="Times New Roman" w:hAnsi="Times New Roman" w:cs="Times New Roman"/>
          <w:sz w:val="24"/>
          <w:szCs w:val="24"/>
          <w:lang w:val="id-ID"/>
        </w:rPr>
        <w:t>;</w:t>
      </w:r>
      <w:r w:rsidRPr="00B7239F">
        <w:rPr>
          <w:rFonts w:ascii="Times New Roman" w:hAnsi="Times New Roman" w:cs="Times New Roman"/>
          <w:sz w:val="24"/>
          <w:szCs w:val="24"/>
        </w:rPr>
        <w:t xml:space="preserve"> resources</w:t>
      </w:r>
      <w:r w:rsidRPr="00B7239F">
        <w:rPr>
          <w:rFonts w:ascii="Times New Roman" w:hAnsi="Times New Roman" w:cs="Times New Roman"/>
          <w:sz w:val="24"/>
          <w:szCs w:val="24"/>
          <w:lang w:val="id-ID"/>
        </w:rPr>
        <w:t xml:space="preserve">; </w:t>
      </w:r>
      <w:r w:rsidRPr="00B7239F">
        <w:rPr>
          <w:rFonts w:ascii="Times New Roman" w:hAnsi="Times New Roman" w:cs="Times New Roman"/>
          <w:sz w:val="24"/>
          <w:szCs w:val="24"/>
        </w:rPr>
        <w:t>data curation</w:t>
      </w:r>
      <w:r w:rsidRPr="00B7239F">
        <w:rPr>
          <w:rFonts w:ascii="Times New Roman" w:hAnsi="Times New Roman" w:cs="Times New Roman"/>
          <w:sz w:val="24"/>
          <w:szCs w:val="24"/>
          <w:lang w:val="id-ID"/>
        </w:rPr>
        <w:t xml:space="preserve">; </w:t>
      </w:r>
      <w:r w:rsidRPr="00B7239F">
        <w:rPr>
          <w:rFonts w:ascii="Times New Roman" w:hAnsi="Times New Roman" w:cs="Times New Roman"/>
          <w:sz w:val="24"/>
          <w:szCs w:val="24"/>
        </w:rPr>
        <w:t>writing—</w:t>
      </w:r>
      <w:r w:rsidRPr="00B7239F">
        <w:rPr>
          <w:rFonts w:ascii="Times New Roman" w:hAnsi="Times New Roman" w:cs="Times New Roman"/>
          <w:sz w:val="24"/>
          <w:szCs w:val="24"/>
          <w:lang w:val="id-ID"/>
        </w:rPr>
        <w:t>o</w:t>
      </w:r>
      <w:r w:rsidRPr="00B7239F">
        <w:rPr>
          <w:rFonts w:ascii="Times New Roman" w:hAnsi="Times New Roman" w:cs="Times New Roman"/>
          <w:sz w:val="24"/>
          <w:szCs w:val="24"/>
        </w:rPr>
        <w:t>riginal draft preparation;</w:t>
      </w:r>
      <w:r w:rsidRPr="00B7239F">
        <w:rPr>
          <w:rFonts w:ascii="Times New Roman" w:hAnsi="Times New Roman" w:cs="Times New Roman"/>
          <w:sz w:val="24"/>
          <w:szCs w:val="24"/>
          <w:lang w:val="id-ID"/>
        </w:rPr>
        <w:t xml:space="preserve"> </w:t>
      </w:r>
      <w:r w:rsidRPr="00B7239F">
        <w:rPr>
          <w:rFonts w:ascii="Times New Roman" w:hAnsi="Times New Roman" w:cs="Times New Roman"/>
          <w:sz w:val="24"/>
          <w:szCs w:val="24"/>
        </w:rPr>
        <w:t>writing—review and editing</w:t>
      </w:r>
      <w:r w:rsidRPr="00B7239F">
        <w:rPr>
          <w:rFonts w:ascii="Times New Roman" w:hAnsi="Times New Roman" w:cs="Times New Roman"/>
          <w:sz w:val="24"/>
          <w:szCs w:val="24"/>
          <w:lang w:val="id-ID"/>
        </w:rPr>
        <w:t xml:space="preserve">.; </w:t>
      </w:r>
      <w:r w:rsidRPr="00B7239F">
        <w:rPr>
          <w:rFonts w:ascii="Times New Roman" w:hAnsi="Times New Roman" w:cs="Times New Roman"/>
          <w:sz w:val="24"/>
          <w:szCs w:val="24"/>
        </w:rPr>
        <w:t>visualization</w:t>
      </w:r>
      <w:r w:rsidRPr="00B7239F">
        <w:rPr>
          <w:rFonts w:ascii="Times New Roman" w:hAnsi="Times New Roman" w:cs="Times New Roman"/>
          <w:sz w:val="24"/>
          <w:szCs w:val="24"/>
          <w:lang w:val="id-ID"/>
        </w:rPr>
        <w:t xml:space="preserve">: </w:t>
      </w:r>
      <w:r>
        <w:rPr>
          <w:rFonts w:ascii="Times New Roman" w:hAnsi="Times New Roman" w:cs="Times New Roman"/>
          <w:sz w:val="24"/>
          <w:szCs w:val="24"/>
        </w:rPr>
        <w:t>R. A., R. R. P. M. S</w:t>
      </w:r>
      <w:r w:rsidRPr="00B7239F">
        <w:rPr>
          <w:rFonts w:ascii="Times New Roman" w:hAnsi="Times New Roman" w:cs="Times New Roman"/>
          <w:sz w:val="24"/>
          <w:szCs w:val="24"/>
          <w:lang w:val="id-ID"/>
        </w:rPr>
        <w:t xml:space="preserve">. </w:t>
      </w:r>
      <w:r w:rsidRPr="00B7239F">
        <w:rPr>
          <w:rFonts w:ascii="Times New Roman" w:hAnsi="Times New Roman" w:cs="Times New Roman"/>
          <w:sz w:val="24"/>
          <w:szCs w:val="24"/>
        </w:rPr>
        <w:t>All authors have read and agreed to the published version of the manuscript.</w:t>
      </w:r>
    </w:p>
    <w:bookmarkEnd w:id="2"/>
    <w:p w14:paraId="74D23E87" w14:textId="77777777" w:rsidR="002821F7" w:rsidRDefault="002821F7" w:rsidP="00B91993">
      <w:pPr>
        <w:pStyle w:val="NormalWeb"/>
        <w:spacing w:before="0" w:beforeAutospacing="0" w:after="0" w:afterAutospacing="0"/>
        <w:ind w:firstLine="720"/>
        <w:jc w:val="both"/>
      </w:pPr>
    </w:p>
    <w:p w14:paraId="4B20AD52" w14:textId="77777777" w:rsidR="00A93354" w:rsidRPr="00E40154" w:rsidRDefault="00A93354" w:rsidP="00A93354">
      <w:pPr>
        <w:pStyle w:val="Heading1"/>
        <w:spacing w:before="276"/>
        <w:jc w:val="both"/>
        <w:rPr>
          <w:spacing w:val="-2"/>
          <w:sz w:val="24"/>
          <w:szCs w:val="24"/>
        </w:rPr>
      </w:pPr>
      <w:r w:rsidRPr="00E40154">
        <w:rPr>
          <w:sz w:val="24"/>
          <w:szCs w:val="24"/>
        </w:rPr>
        <w:t>Declaration</w:t>
      </w:r>
      <w:r w:rsidRPr="00E40154">
        <w:rPr>
          <w:spacing w:val="-4"/>
          <w:sz w:val="24"/>
          <w:szCs w:val="24"/>
        </w:rPr>
        <w:t xml:space="preserve"> </w:t>
      </w:r>
      <w:r w:rsidRPr="00E40154">
        <w:rPr>
          <w:sz w:val="24"/>
          <w:szCs w:val="24"/>
        </w:rPr>
        <w:t>of</w:t>
      </w:r>
      <w:r w:rsidRPr="00E40154">
        <w:rPr>
          <w:spacing w:val="-2"/>
          <w:sz w:val="24"/>
          <w:szCs w:val="24"/>
        </w:rPr>
        <w:t xml:space="preserve"> </w:t>
      </w:r>
      <w:r w:rsidRPr="00E40154">
        <w:rPr>
          <w:sz w:val="24"/>
          <w:szCs w:val="24"/>
        </w:rPr>
        <w:t>generative</w:t>
      </w:r>
      <w:r w:rsidRPr="00E40154">
        <w:rPr>
          <w:spacing w:val="-1"/>
          <w:sz w:val="24"/>
          <w:szCs w:val="24"/>
        </w:rPr>
        <w:t xml:space="preserve"> </w:t>
      </w:r>
      <w:r w:rsidRPr="00E40154">
        <w:rPr>
          <w:sz w:val="24"/>
          <w:szCs w:val="24"/>
        </w:rPr>
        <w:t>AI</w:t>
      </w:r>
      <w:r w:rsidRPr="00E40154">
        <w:rPr>
          <w:spacing w:val="-4"/>
          <w:sz w:val="24"/>
          <w:szCs w:val="24"/>
        </w:rPr>
        <w:t xml:space="preserve"> </w:t>
      </w:r>
      <w:r w:rsidRPr="00E40154">
        <w:rPr>
          <w:sz w:val="24"/>
          <w:szCs w:val="24"/>
        </w:rPr>
        <w:t>in</w:t>
      </w:r>
      <w:r w:rsidRPr="00E40154">
        <w:rPr>
          <w:spacing w:val="-4"/>
          <w:sz w:val="24"/>
          <w:szCs w:val="24"/>
        </w:rPr>
        <w:t xml:space="preserve"> </w:t>
      </w:r>
      <w:r w:rsidRPr="00E40154">
        <w:rPr>
          <w:sz w:val="24"/>
          <w:szCs w:val="24"/>
        </w:rPr>
        <w:t xml:space="preserve">scientific </w:t>
      </w:r>
      <w:r w:rsidRPr="00E40154">
        <w:rPr>
          <w:spacing w:val="-2"/>
          <w:sz w:val="24"/>
          <w:szCs w:val="24"/>
        </w:rPr>
        <w:t>writing</w:t>
      </w:r>
    </w:p>
    <w:p w14:paraId="6E6245E7" w14:textId="5AB4D89A" w:rsidR="00A93354" w:rsidRPr="00A93354" w:rsidRDefault="00A93354" w:rsidP="00A93354">
      <w:pPr>
        <w:pStyle w:val="Heading1"/>
        <w:spacing w:before="276"/>
        <w:ind w:firstLine="720"/>
        <w:jc w:val="both"/>
        <w:rPr>
          <w:b w:val="0"/>
          <w:bCs w:val="0"/>
          <w:spacing w:val="-2"/>
          <w:sz w:val="24"/>
          <w:szCs w:val="24"/>
        </w:rPr>
      </w:pPr>
      <w:r w:rsidRPr="00E40154">
        <w:rPr>
          <w:b w:val="0"/>
          <w:bCs w:val="0"/>
          <w:spacing w:val="-2"/>
          <w:sz w:val="24"/>
          <w:szCs w:val="24"/>
        </w:rPr>
        <w:t>Generative AI was employed in this study strictly for language enhancement and structural formatting. The authors maintain full accountability for the intellectual integrity, originality, and factual accuracy of the entire manuscript. No AI tool was used to create or alter primary research data.</w:t>
      </w:r>
    </w:p>
    <w:p w14:paraId="53BFED22" w14:textId="54B79DA4" w:rsidR="00320BD4" w:rsidRPr="002821F7" w:rsidRDefault="000F55A8" w:rsidP="00320BD4">
      <w:pPr>
        <w:spacing w:before="100" w:beforeAutospacing="1" w:after="100" w:afterAutospacing="1" w:line="240" w:lineRule="auto"/>
        <w:outlineLvl w:val="2"/>
        <w:rPr>
          <w:rFonts w:ascii="Times New Roman" w:eastAsia="Times New Roman" w:hAnsi="Times New Roman" w:cs="Times New Roman"/>
          <w:b/>
          <w:bCs/>
          <w:kern w:val="0"/>
          <w:sz w:val="24"/>
          <w:szCs w:val="24"/>
          <w14:ligatures w14:val="none"/>
        </w:rPr>
      </w:pPr>
      <w:r w:rsidRPr="002821F7">
        <w:rPr>
          <w:rFonts w:ascii="Times New Roman" w:eastAsia="Times New Roman" w:hAnsi="Times New Roman" w:cs="Times New Roman"/>
          <w:b/>
          <w:bCs/>
          <w:kern w:val="0"/>
          <w:sz w:val="24"/>
          <w:szCs w:val="24"/>
          <w14:ligatures w14:val="none"/>
        </w:rPr>
        <w:t>References</w:t>
      </w:r>
    </w:p>
    <w:p w14:paraId="3AD73ED1" w14:textId="77777777" w:rsidR="00B7239F" w:rsidRPr="00B7239F" w:rsidRDefault="000F55A8" w:rsidP="00B7239F">
      <w:pPr>
        <w:pStyle w:val="Bibliography"/>
        <w:spacing w:line="240" w:lineRule="auto"/>
        <w:jc w:val="both"/>
        <w:rPr>
          <w:rFonts w:ascii="Times New Roman" w:hAnsi="Times New Roman" w:cs="Times New Roman"/>
          <w:sz w:val="24"/>
          <w:szCs w:val="24"/>
        </w:rPr>
      </w:pPr>
      <w:r w:rsidRPr="00B7239F">
        <w:rPr>
          <w:rFonts w:ascii="Times New Roman" w:eastAsia="Times New Roman" w:hAnsi="Times New Roman" w:cs="Times New Roman"/>
          <w:b/>
          <w:bCs/>
          <w:kern w:val="0"/>
          <w:sz w:val="24"/>
          <w:szCs w:val="24"/>
          <w14:ligatures w14:val="none"/>
        </w:rPr>
        <w:fldChar w:fldCharType="begin"/>
      </w:r>
      <w:r w:rsidR="00B7239F" w:rsidRPr="00B7239F">
        <w:rPr>
          <w:rFonts w:ascii="Times New Roman" w:eastAsia="Times New Roman" w:hAnsi="Times New Roman" w:cs="Times New Roman"/>
          <w:b/>
          <w:bCs/>
          <w:kern w:val="0"/>
          <w:sz w:val="24"/>
          <w:szCs w:val="24"/>
          <w14:ligatures w14:val="none"/>
        </w:rPr>
        <w:instrText xml:space="preserve"> ADDIN ZOTERO_BIBL {"uncited":[],"omitted":[],"custom":[]} CSL_BIBLIOGRAPHY </w:instrText>
      </w:r>
      <w:r w:rsidRPr="00B7239F">
        <w:rPr>
          <w:rFonts w:ascii="Times New Roman" w:eastAsia="Times New Roman" w:hAnsi="Times New Roman" w:cs="Times New Roman"/>
          <w:b/>
          <w:bCs/>
          <w:kern w:val="0"/>
          <w:sz w:val="24"/>
          <w:szCs w:val="24"/>
          <w14:ligatures w14:val="none"/>
        </w:rPr>
        <w:fldChar w:fldCharType="separate"/>
      </w:r>
      <w:r w:rsidR="00B7239F" w:rsidRPr="00B7239F">
        <w:rPr>
          <w:rFonts w:ascii="Times New Roman" w:hAnsi="Times New Roman" w:cs="Times New Roman"/>
          <w:sz w:val="24"/>
          <w:szCs w:val="24"/>
        </w:rPr>
        <w:t xml:space="preserve">Abhijeet, Dhurve, L., Singh, H. C., Maurya, D. K., Lohare, R., Tripathi, S., Kumar, A., &amp; Nagar, A. (2023). A comprehensive Review on Role of Distance Learning Program towards the Development of Global Education System. </w:t>
      </w:r>
      <w:r w:rsidR="00B7239F" w:rsidRPr="00B7239F">
        <w:rPr>
          <w:rFonts w:ascii="Times New Roman" w:hAnsi="Times New Roman" w:cs="Times New Roman"/>
          <w:i/>
          <w:iCs/>
          <w:sz w:val="24"/>
          <w:szCs w:val="24"/>
        </w:rPr>
        <w:t>Current Journal of Applied Science and Technology</w:t>
      </w:r>
      <w:r w:rsidR="00B7239F" w:rsidRPr="00B7239F">
        <w:rPr>
          <w:rFonts w:ascii="Times New Roman" w:hAnsi="Times New Roman" w:cs="Times New Roman"/>
          <w:sz w:val="24"/>
          <w:szCs w:val="24"/>
        </w:rPr>
        <w:t xml:space="preserve">, </w:t>
      </w:r>
      <w:r w:rsidR="00B7239F" w:rsidRPr="00B7239F">
        <w:rPr>
          <w:rFonts w:ascii="Times New Roman" w:hAnsi="Times New Roman" w:cs="Times New Roman"/>
          <w:i/>
          <w:iCs/>
          <w:sz w:val="24"/>
          <w:szCs w:val="24"/>
        </w:rPr>
        <w:t>42</w:t>
      </w:r>
      <w:r w:rsidR="00B7239F" w:rsidRPr="00B7239F">
        <w:rPr>
          <w:rFonts w:ascii="Times New Roman" w:hAnsi="Times New Roman" w:cs="Times New Roman"/>
          <w:sz w:val="24"/>
          <w:szCs w:val="24"/>
        </w:rPr>
        <w:t>(48), 23–34. https://doi.org/10.9734/cjast/2023/v42i484327</w:t>
      </w:r>
    </w:p>
    <w:p w14:paraId="6E91A6AC"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Ahmadfard, M. (2026). Advancing open learning through interactive open educational resources. </w:t>
      </w:r>
      <w:r w:rsidRPr="00B7239F">
        <w:rPr>
          <w:rFonts w:ascii="Times New Roman" w:hAnsi="Times New Roman" w:cs="Times New Roman"/>
          <w:i/>
          <w:iCs/>
          <w:sz w:val="24"/>
          <w:szCs w:val="24"/>
        </w:rPr>
        <w:t>Discover Education</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5</w:t>
      </w:r>
      <w:r w:rsidRPr="00B7239F">
        <w:rPr>
          <w:rFonts w:ascii="Times New Roman" w:hAnsi="Times New Roman" w:cs="Times New Roman"/>
          <w:sz w:val="24"/>
          <w:szCs w:val="24"/>
        </w:rPr>
        <w:t>(1), 211. https://doi.org/10.1007/s44217-026-01236-z</w:t>
      </w:r>
    </w:p>
    <w:p w14:paraId="64B41103"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Aloka, P. J. O., Ooko, M., Ooko, P. A., &amp; Onyango, P. (2023). Self-Regulated Learning and Student Success, Retention, and Engagement in Online Courses: In J. Keengwe (Ed.), </w:t>
      </w:r>
      <w:r w:rsidRPr="00B7239F">
        <w:rPr>
          <w:rFonts w:ascii="Times New Roman" w:hAnsi="Times New Roman" w:cs="Times New Roman"/>
          <w:i/>
          <w:iCs/>
          <w:sz w:val="24"/>
          <w:szCs w:val="24"/>
        </w:rPr>
        <w:t>Advances in Educational Technologies and Instructional Design</w:t>
      </w:r>
      <w:r w:rsidRPr="00B7239F">
        <w:rPr>
          <w:rFonts w:ascii="Times New Roman" w:hAnsi="Times New Roman" w:cs="Times New Roman"/>
          <w:sz w:val="24"/>
          <w:szCs w:val="24"/>
        </w:rPr>
        <w:t xml:space="preserve"> (pp. 238–255). IGI Global. https://doi.org/10.4018/978-1-6684-9072-3.ch012</w:t>
      </w:r>
    </w:p>
    <w:p w14:paraId="6AFD9C18"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Alpat, M. F., &amp; Parlak, S. (2025). Öz-Düzenleme: Uzaktan Eğitimde Öğrencinin Pusulası. </w:t>
      </w:r>
      <w:r w:rsidRPr="00B7239F">
        <w:rPr>
          <w:rFonts w:ascii="Times New Roman" w:hAnsi="Times New Roman" w:cs="Times New Roman"/>
          <w:i/>
          <w:iCs/>
          <w:sz w:val="24"/>
          <w:szCs w:val="24"/>
        </w:rPr>
        <w:t>Journal of Ibn Haldun Studies, Ibn Haldun University</w:t>
      </w:r>
      <w:r w:rsidRPr="00B7239F">
        <w:rPr>
          <w:rFonts w:ascii="Times New Roman" w:hAnsi="Times New Roman" w:cs="Times New Roman"/>
          <w:sz w:val="24"/>
          <w:szCs w:val="24"/>
        </w:rPr>
        <w:t>, 2. https://doi.org/10.36657/ihcd.2025.142</w:t>
      </w:r>
    </w:p>
    <w:p w14:paraId="1E5A362A"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Barradas Arenas, U. D., Alcocer Campos, M. H., De Los Santos Manuel, R., &amp; Chi Kuk, J. A. (2025). Estrategias para el desarrollo del aprendizaje autónomo en estudiantes universitarios de educación a distancia: Strategies for Autonomous Learning Development in Distance Education University Students. </w:t>
      </w:r>
      <w:r w:rsidRPr="00B7239F">
        <w:rPr>
          <w:rFonts w:ascii="Times New Roman" w:hAnsi="Times New Roman" w:cs="Times New Roman"/>
          <w:i/>
          <w:iCs/>
          <w:sz w:val="24"/>
          <w:szCs w:val="24"/>
        </w:rPr>
        <w:t>Revista RELEP- Educación y Pedagogía En Latinoamérica</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7</w:t>
      </w:r>
      <w:r w:rsidRPr="00B7239F">
        <w:rPr>
          <w:rFonts w:ascii="Times New Roman" w:hAnsi="Times New Roman" w:cs="Times New Roman"/>
          <w:sz w:val="24"/>
          <w:szCs w:val="24"/>
        </w:rPr>
        <w:t>(3). https://doi.org/10.46990/relep.2025.7.3.2197</w:t>
      </w:r>
    </w:p>
    <w:p w14:paraId="05DC9D0A" w14:textId="332E7B69"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Barreto, D. T. (2025). </w:t>
      </w:r>
      <w:r w:rsidRPr="00B7239F">
        <w:rPr>
          <w:rFonts w:ascii="Times New Roman" w:hAnsi="Times New Roman" w:cs="Times New Roman"/>
          <w:i/>
          <w:iCs/>
          <w:sz w:val="24"/>
          <w:szCs w:val="24"/>
        </w:rPr>
        <w:t xml:space="preserve">O </w:t>
      </w:r>
      <w:r w:rsidR="00A93354" w:rsidRPr="00B7239F">
        <w:rPr>
          <w:rFonts w:ascii="Times New Roman" w:hAnsi="Times New Roman" w:cs="Times New Roman"/>
          <w:i/>
          <w:iCs/>
          <w:sz w:val="24"/>
          <w:szCs w:val="24"/>
        </w:rPr>
        <w:t>Estudante Conectado Na Ead</w:t>
      </w:r>
      <w:r w:rsidRPr="00B7239F">
        <w:rPr>
          <w:rFonts w:ascii="Times New Roman" w:hAnsi="Times New Roman" w:cs="Times New Roman"/>
          <w:sz w:val="24"/>
          <w:szCs w:val="24"/>
        </w:rPr>
        <w:t>. Outros. https://doi.org/10.29327/7679177</w:t>
      </w:r>
    </w:p>
    <w:p w14:paraId="7B812973"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Bassner, P., Lenk-Ostendorf, B., Beinstingel, R., Wasner, T., &amp; Krusche, S. (2026). Less stress, better scores, same learning: The dissociation of performance and learning in AI-supported programming education. </w:t>
      </w:r>
      <w:r w:rsidRPr="00B7239F">
        <w:rPr>
          <w:rFonts w:ascii="Times New Roman" w:hAnsi="Times New Roman" w:cs="Times New Roman"/>
          <w:i/>
          <w:iCs/>
          <w:sz w:val="24"/>
          <w:szCs w:val="24"/>
        </w:rPr>
        <w:t>Computers and Education: Artificial Intelligence</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10</w:t>
      </w:r>
      <w:r w:rsidRPr="00B7239F">
        <w:rPr>
          <w:rFonts w:ascii="Times New Roman" w:hAnsi="Times New Roman" w:cs="Times New Roman"/>
          <w:sz w:val="24"/>
          <w:szCs w:val="24"/>
        </w:rPr>
        <w:t>, 100537. https://doi.org/10.1016/j.caeai.2025.100537</w:t>
      </w:r>
    </w:p>
    <w:p w14:paraId="2520100C"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Bellhäuser, H., Dignath, C., &amp; Theobald, M. (2023). Daily automated feedback enhances self-regulated learning: A longitudinal randomized field experiment. </w:t>
      </w:r>
      <w:r w:rsidRPr="00B7239F">
        <w:rPr>
          <w:rFonts w:ascii="Times New Roman" w:hAnsi="Times New Roman" w:cs="Times New Roman"/>
          <w:i/>
          <w:iCs/>
          <w:sz w:val="24"/>
          <w:szCs w:val="24"/>
        </w:rPr>
        <w:t>Frontiers in Psychology</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14</w:t>
      </w:r>
      <w:r w:rsidRPr="00B7239F">
        <w:rPr>
          <w:rFonts w:ascii="Times New Roman" w:hAnsi="Times New Roman" w:cs="Times New Roman"/>
          <w:sz w:val="24"/>
          <w:szCs w:val="24"/>
        </w:rPr>
        <w:t>, 1125873. https://doi.org/10.3389/fpsyg.2023.1125873</w:t>
      </w:r>
    </w:p>
    <w:p w14:paraId="5A146C28"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lastRenderedPageBreak/>
        <w:t xml:space="preserve">Boyer, N. R., Maher, P. A., &amp; Kirkman, S. (2006). Transformative Learning in Online Settings: The Use of Self-Direction, Metacognition, and Collaborative Learning. </w:t>
      </w:r>
      <w:r w:rsidRPr="00B7239F">
        <w:rPr>
          <w:rFonts w:ascii="Times New Roman" w:hAnsi="Times New Roman" w:cs="Times New Roman"/>
          <w:i/>
          <w:iCs/>
          <w:sz w:val="24"/>
          <w:szCs w:val="24"/>
        </w:rPr>
        <w:t>Journal of Transformative Education</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4</w:t>
      </w:r>
      <w:r w:rsidRPr="00B7239F">
        <w:rPr>
          <w:rFonts w:ascii="Times New Roman" w:hAnsi="Times New Roman" w:cs="Times New Roman"/>
          <w:sz w:val="24"/>
          <w:szCs w:val="24"/>
        </w:rPr>
        <w:t>(4), 335–361. https://doi.org/10.1177/1541344606295318</w:t>
      </w:r>
    </w:p>
    <w:p w14:paraId="5C862587"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Broadbent, J., &amp; Barba, P. D. (2023). Self-regulated learning and the student experience in online higher education. In C. Baik &amp; E. R. Kahu (Eds.), </w:t>
      </w:r>
      <w:r w:rsidRPr="00B7239F">
        <w:rPr>
          <w:rFonts w:ascii="Times New Roman" w:hAnsi="Times New Roman" w:cs="Times New Roman"/>
          <w:i/>
          <w:iCs/>
          <w:sz w:val="24"/>
          <w:szCs w:val="24"/>
        </w:rPr>
        <w:t>Research Handbook on the Student Experience in Higher Education</w:t>
      </w:r>
      <w:r w:rsidRPr="00B7239F">
        <w:rPr>
          <w:rFonts w:ascii="Times New Roman" w:hAnsi="Times New Roman" w:cs="Times New Roman"/>
          <w:sz w:val="24"/>
          <w:szCs w:val="24"/>
        </w:rPr>
        <w:t xml:space="preserve"> (pp. 179–190). Edward Elgar Publishing. https://doi.org/10.4337/9781802204193.00021</w:t>
      </w:r>
    </w:p>
    <w:p w14:paraId="215A9492"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Dekker, I., Schippers, M., &amp; Van Schooten, E. (2024). Reflective Goal-setting Improves Academic Performance in Teacher and Business Education: A Large-scale Field Experiment. </w:t>
      </w:r>
      <w:r w:rsidRPr="00B7239F">
        <w:rPr>
          <w:rFonts w:ascii="Times New Roman" w:hAnsi="Times New Roman" w:cs="Times New Roman"/>
          <w:i/>
          <w:iCs/>
          <w:sz w:val="24"/>
          <w:szCs w:val="24"/>
        </w:rPr>
        <w:t>Journal of Research on Educational Effectiveness</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17</w:t>
      </w:r>
      <w:r w:rsidRPr="00B7239F">
        <w:rPr>
          <w:rFonts w:ascii="Times New Roman" w:hAnsi="Times New Roman" w:cs="Times New Roman"/>
          <w:sz w:val="24"/>
          <w:szCs w:val="24"/>
        </w:rPr>
        <w:t>(3), 561–589. https://doi.org/10.1080/19345747.2023.2231440</w:t>
      </w:r>
    </w:p>
    <w:p w14:paraId="2B02676D"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Doo, M. Y., Bonk, C., &amp; Heo, H. (2020). A Meta-Analysis of Scaffolding Effects in Online Learning in Higher Education. </w:t>
      </w:r>
      <w:r w:rsidRPr="00B7239F">
        <w:rPr>
          <w:rFonts w:ascii="Times New Roman" w:hAnsi="Times New Roman" w:cs="Times New Roman"/>
          <w:i/>
          <w:iCs/>
          <w:sz w:val="24"/>
          <w:szCs w:val="24"/>
        </w:rPr>
        <w:t>The International Review of Research in Open and Distributed Learning</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21</w:t>
      </w:r>
      <w:r w:rsidRPr="00B7239F">
        <w:rPr>
          <w:rFonts w:ascii="Times New Roman" w:hAnsi="Times New Roman" w:cs="Times New Roman"/>
          <w:sz w:val="24"/>
          <w:szCs w:val="24"/>
        </w:rPr>
        <w:t>(3). https://doi.org/10.19173/irrodl.v21i3.4638</w:t>
      </w:r>
    </w:p>
    <w:p w14:paraId="164697E4"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Draeger, J., &amp; Winckelmann, B. (2020). How Metacognitive Instructors Can Use Their Learning Management System to Facilitate Student Learning. </w:t>
      </w:r>
      <w:r w:rsidRPr="00B7239F">
        <w:rPr>
          <w:rFonts w:ascii="Times New Roman" w:hAnsi="Times New Roman" w:cs="Times New Roman"/>
          <w:i/>
          <w:iCs/>
          <w:sz w:val="24"/>
          <w:szCs w:val="24"/>
        </w:rPr>
        <w:t>Journal of Teaching and Learning with Technology</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9</w:t>
      </w:r>
      <w:r w:rsidRPr="00B7239F">
        <w:rPr>
          <w:rFonts w:ascii="Times New Roman" w:hAnsi="Times New Roman" w:cs="Times New Roman"/>
          <w:sz w:val="24"/>
          <w:szCs w:val="24"/>
        </w:rPr>
        <w:t>(1). https://doi.org/10.14434/jotlt.v9i1.29159</w:t>
      </w:r>
    </w:p>
    <w:p w14:paraId="2D3DD0C2"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Du, J., Liu, L., &amp; Zhao, S. (2025a). Empowering Students in Online Learning Environments Through a Self-Regulated Learning–Enhanced Learning Management System. </w:t>
      </w:r>
      <w:r w:rsidRPr="00B7239F">
        <w:rPr>
          <w:rFonts w:ascii="Times New Roman" w:hAnsi="Times New Roman" w:cs="Times New Roman"/>
          <w:i/>
          <w:iCs/>
          <w:sz w:val="24"/>
          <w:szCs w:val="24"/>
        </w:rPr>
        <w:t>Behavioral Sciences</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15</w:t>
      </w:r>
      <w:r w:rsidRPr="00B7239F">
        <w:rPr>
          <w:rFonts w:ascii="Times New Roman" w:hAnsi="Times New Roman" w:cs="Times New Roman"/>
          <w:sz w:val="24"/>
          <w:szCs w:val="24"/>
        </w:rPr>
        <w:t>(8), 1041. https://doi.org/10.3390/bs15081041</w:t>
      </w:r>
    </w:p>
    <w:p w14:paraId="377E6E88"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Du, J., Liu, L., &amp; Zhao, S. (2025b). Empowering Students in Online Learning Environments Through a Self-Regulated Learning–Enhanced Learning Management System. </w:t>
      </w:r>
      <w:r w:rsidRPr="00B7239F">
        <w:rPr>
          <w:rFonts w:ascii="Times New Roman" w:hAnsi="Times New Roman" w:cs="Times New Roman"/>
          <w:i/>
          <w:iCs/>
          <w:sz w:val="24"/>
          <w:szCs w:val="24"/>
        </w:rPr>
        <w:t>Behavioral Sciences</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15</w:t>
      </w:r>
      <w:r w:rsidRPr="00B7239F">
        <w:rPr>
          <w:rFonts w:ascii="Times New Roman" w:hAnsi="Times New Roman" w:cs="Times New Roman"/>
          <w:sz w:val="24"/>
          <w:szCs w:val="24"/>
        </w:rPr>
        <w:t>(8), 1041. https://doi.org/10.3390/bs15081041</w:t>
      </w:r>
    </w:p>
    <w:p w14:paraId="086318E6"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Du Plooy, E., Casteleijn, D., &amp; Franzsen, D. (2024). Personalized adaptive learning in higher education: A scoping review of key characteristics and impact on academic performance and engagement. </w:t>
      </w:r>
      <w:r w:rsidRPr="00B7239F">
        <w:rPr>
          <w:rFonts w:ascii="Times New Roman" w:hAnsi="Times New Roman" w:cs="Times New Roman"/>
          <w:i/>
          <w:iCs/>
          <w:sz w:val="24"/>
          <w:szCs w:val="24"/>
        </w:rPr>
        <w:t>Heliyon</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10</w:t>
      </w:r>
      <w:r w:rsidRPr="00B7239F">
        <w:rPr>
          <w:rFonts w:ascii="Times New Roman" w:hAnsi="Times New Roman" w:cs="Times New Roman"/>
          <w:sz w:val="24"/>
          <w:szCs w:val="24"/>
        </w:rPr>
        <w:t>(21), e39630. https://doi.org/10.1016/j.heliyon.2024.e39630</w:t>
      </w:r>
    </w:p>
    <w:p w14:paraId="5CBED997"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Edisherashvili, N., Saks, K., Pedaste, M., &amp; Leijen, Ä. (2022). Supporting Self-Regulated Learning in Distance Learning Contexts at Higher Education Level: Systematic Literature Review. </w:t>
      </w:r>
      <w:r w:rsidRPr="00B7239F">
        <w:rPr>
          <w:rFonts w:ascii="Times New Roman" w:hAnsi="Times New Roman" w:cs="Times New Roman"/>
          <w:i/>
          <w:iCs/>
          <w:sz w:val="24"/>
          <w:szCs w:val="24"/>
        </w:rPr>
        <w:t>Frontiers in Psychology</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12</w:t>
      </w:r>
      <w:r w:rsidRPr="00B7239F">
        <w:rPr>
          <w:rFonts w:ascii="Times New Roman" w:hAnsi="Times New Roman" w:cs="Times New Roman"/>
          <w:sz w:val="24"/>
          <w:szCs w:val="24"/>
        </w:rPr>
        <w:t>, 792422. https://doi.org/10.3389/fpsyg.2021.792422</w:t>
      </w:r>
    </w:p>
    <w:p w14:paraId="20AE4BE0" w14:textId="7919FC8B"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Espinosa Cevallos, P. A. (2024). Evaluación del impacto de la educación a distancia en el rendimiento académico de los estudiantes. </w:t>
      </w:r>
      <w:r w:rsidR="00A93354" w:rsidRPr="00B7239F">
        <w:rPr>
          <w:rFonts w:ascii="Times New Roman" w:hAnsi="Times New Roman" w:cs="Times New Roman"/>
          <w:i/>
          <w:iCs/>
          <w:sz w:val="24"/>
          <w:szCs w:val="24"/>
        </w:rPr>
        <w:t>Revista Multidisciplinaria De Desarrollo Agropecuario, Tecnológico, Empresarial Y Humanista</w:t>
      </w:r>
      <w:r w:rsidRPr="00B7239F">
        <w:rPr>
          <w:rFonts w:ascii="Times New Roman" w:hAnsi="Times New Roman" w:cs="Times New Roman"/>
          <w:i/>
          <w:iCs/>
          <w:sz w:val="24"/>
          <w:szCs w:val="24"/>
        </w:rPr>
        <w:t>.</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6</w:t>
      </w:r>
      <w:r w:rsidRPr="00B7239F">
        <w:rPr>
          <w:rFonts w:ascii="Times New Roman" w:hAnsi="Times New Roman" w:cs="Times New Roman"/>
          <w:sz w:val="24"/>
          <w:szCs w:val="24"/>
        </w:rPr>
        <w:t>(1), 5. https://doi.org/10.61236/dateh.v6i1.880</w:t>
      </w:r>
    </w:p>
    <w:p w14:paraId="59A197EE"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Fahyuni, E. F., Taurusta, C., Rindaningsih, I., Burhan, N. B. M., &amp; Khuluqo, I. E. (2023). Self-Regulated Learning Students With Personalized E-Learning. </w:t>
      </w:r>
      <w:r w:rsidRPr="00B7239F">
        <w:rPr>
          <w:rFonts w:ascii="Times New Roman" w:hAnsi="Times New Roman" w:cs="Times New Roman"/>
          <w:i/>
          <w:iCs/>
          <w:sz w:val="24"/>
          <w:szCs w:val="24"/>
        </w:rPr>
        <w:t>Academia Open</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8</w:t>
      </w:r>
      <w:r w:rsidRPr="00B7239F">
        <w:rPr>
          <w:rFonts w:ascii="Times New Roman" w:hAnsi="Times New Roman" w:cs="Times New Roman"/>
          <w:sz w:val="24"/>
          <w:szCs w:val="24"/>
        </w:rPr>
        <w:t>(2). https://doi.org/10.21070/acopen.8.2023.7201</w:t>
      </w:r>
    </w:p>
    <w:p w14:paraId="274E7136"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Hagan, C., Callison, M., &amp; Fox, A. (2020). The RECAP and SCAFFOLDS Frameworks: Engaging Students in Self-Reflection and Self-Regulation Within Online Learning. </w:t>
      </w:r>
      <w:r w:rsidRPr="00B7239F">
        <w:rPr>
          <w:rFonts w:ascii="Times New Roman" w:hAnsi="Times New Roman" w:cs="Times New Roman"/>
          <w:i/>
          <w:iCs/>
          <w:sz w:val="24"/>
          <w:szCs w:val="24"/>
        </w:rPr>
        <w:t>Journal of Teaching and Learning with Technology</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9</w:t>
      </w:r>
      <w:r w:rsidRPr="00B7239F">
        <w:rPr>
          <w:rFonts w:ascii="Times New Roman" w:hAnsi="Times New Roman" w:cs="Times New Roman"/>
          <w:sz w:val="24"/>
          <w:szCs w:val="24"/>
        </w:rPr>
        <w:t>(1). https://doi.org/10.14434/jotlt.v9i1.29469</w:t>
      </w:r>
    </w:p>
    <w:p w14:paraId="0759DFBD" w14:textId="41432878"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Karagianni, G. K. (2024). </w:t>
      </w:r>
      <w:r w:rsidR="00A93354" w:rsidRPr="00B7239F">
        <w:rPr>
          <w:rFonts w:ascii="Times New Roman" w:hAnsi="Times New Roman" w:cs="Times New Roman"/>
          <w:sz w:val="24"/>
          <w:szCs w:val="24"/>
        </w:rPr>
        <w:t>Metacognition As A Catalyst For Improved Learning Outcomes In Open &amp; Distance Education</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European Journal of Open Education and E-Learning Studies</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9</w:t>
      </w:r>
      <w:r w:rsidRPr="00B7239F">
        <w:rPr>
          <w:rFonts w:ascii="Times New Roman" w:hAnsi="Times New Roman" w:cs="Times New Roman"/>
          <w:sz w:val="24"/>
          <w:szCs w:val="24"/>
        </w:rPr>
        <w:t>(1). https://doi.org/10.46827/ejoe.v9i1.5567</w:t>
      </w:r>
    </w:p>
    <w:p w14:paraId="1DE91534"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Ko, H. (2026). Bridging Digital Learning Competence and Academic Achievement: The Roles of Informal Digital Learning and Metacognitive Self-Regulation. </w:t>
      </w:r>
      <w:r w:rsidRPr="00B7239F">
        <w:rPr>
          <w:rFonts w:ascii="Times New Roman" w:hAnsi="Times New Roman" w:cs="Times New Roman"/>
          <w:i/>
          <w:iCs/>
          <w:sz w:val="24"/>
          <w:szCs w:val="24"/>
        </w:rPr>
        <w:t>Journal of Intelligence</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14</w:t>
      </w:r>
      <w:r w:rsidRPr="00B7239F">
        <w:rPr>
          <w:rFonts w:ascii="Times New Roman" w:hAnsi="Times New Roman" w:cs="Times New Roman"/>
          <w:sz w:val="24"/>
          <w:szCs w:val="24"/>
        </w:rPr>
        <w:t>(2), 31. https://doi.org/10.3390/jintelligence14020031</w:t>
      </w:r>
    </w:p>
    <w:p w14:paraId="11DF2092"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lastRenderedPageBreak/>
        <w:t xml:space="preserve">Liberty, L. M., &amp; DeSpain, S. N. (2020). Self-Regulated Learners: Strategies That Promote Self-Regulated Learning in Online Environments. In A. W. Thornburg, D. F. Abernathy, &amp; R. J. Ceglie (Eds.), </w:t>
      </w:r>
      <w:r w:rsidRPr="00B7239F">
        <w:rPr>
          <w:rFonts w:ascii="Times New Roman" w:hAnsi="Times New Roman" w:cs="Times New Roman"/>
          <w:i/>
          <w:iCs/>
          <w:sz w:val="24"/>
          <w:szCs w:val="24"/>
        </w:rPr>
        <w:t>Advances in Educational Technologies and Instructional Design</w:t>
      </w:r>
      <w:r w:rsidRPr="00B7239F">
        <w:rPr>
          <w:rFonts w:ascii="Times New Roman" w:hAnsi="Times New Roman" w:cs="Times New Roman"/>
          <w:sz w:val="24"/>
          <w:szCs w:val="24"/>
        </w:rPr>
        <w:t xml:space="preserve"> (pp. 48–71). IGI Global. https://doi.org/10.4018/978-1-7998-2132-8.ch004</w:t>
      </w:r>
    </w:p>
    <w:p w14:paraId="37F128C0"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Monazam-Tabrizi, N., Kurt, Y., &amp; Kang, W. il-Kuk. (2026). Navigating learning disruptions: The role of digital learning platforms in student motivation, feedback and emotion. </w:t>
      </w:r>
      <w:r w:rsidRPr="00B7239F">
        <w:rPr>
          <w:rFonts w:ascii="Times New Roman" w:hAnsi="Times New Roman" w:cs="Times New Roman"/>
          <w:i/>
          <w:iCs/>
          <w:sz w:val="24"/>
          <w:szCs w:val="24"/>
        </w:rPr>
        <w:t>Computers &amp; Education</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246</w:t>
      </w:r>
      <w:r w:rsidRPr="00B7239F">
        <w:rPr>
          <w:rFonts w:ascii="Times New Roman" w:hAnsi="Times New Roman" w:cs="Times New Roman"/>
          <w:sz w:val="24"/>
          <w:szCs w:val="24"/>
        </w:rPr>
        <w:t>, 105534. https://doi.org/10.1016/j.compedu.2025.105534</w:t>
      </w:r>
    </w:p>
    <w:p w14:paraId="39B531EE"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Nwoko, J. C., Anderson, E., Adegboye, O., Malau-Aduli, A. E. O., &amp; Malau-Aduli, B. S. (2024). Navigating Teachers’ Occupational Well-Being in the Tides of Classroom Processes and School Structures. </w:t>
      </w:r>
      <w:r w:rsidRPr="00B7239F">
        <w:rPr>
          <w:rFonts w:ascii="Times New Roman" w:hAnsi="Times New Roman" w:cs="Times New Roman"/>
          <w:i/>
          <w:iCs/>
          <w:sz w:val="24"/>
          <w:szCs w:val="24"/>
        </w:rPr>
        <w:t>Education Sciences</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14</w:t>
      </w:r>
      <w:r w:rsidRPr="00B7239F">
        <w:rPr>
          <w:rFonts w:ascii="Times New Roman" w:hAnsi="Times New Roman" w:cs="Times New Roman"/>
          <w:sz w:val="24"/>
          <w:szCs w:val="24"/>
        </w:rPr>
        <w:t>(11), 1225. https://doi.org/10.3390/educsci14111225</w:t>
      </w:r>
    </w:p>
    <w:p w14:paraId="77494BAD"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Özkan, A., Çevik, İ., Saylan, E., &amp; Çakıroğlu, Ü. (2025). The Past and Present of Instructional Design in Online Learning: Trends and Emerging Directions. </w:t>
      </w:r>
      <w:r w:rsidRPr="00B7239F">
        <w:rPr>
          <w:rFonts w:ascii="Times New Roman" w:hAnsi="Times New Roman" w:cs="Times New Roman"/>
          <w:i/>
          <w:iCs/>
          <w:sz w:val="24"/>
          <w:szCs w:val="24"/>
        </w:rPr>
        <w:t>The International Review of Research in Open and Distributed Learning</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26</w:t>
      </w:r>
      <w:r w:rsidRPr="00B7239F">
        <w:rPr>
          <w:rFonts w:ascii="Times New Roman" w:hAnsi="Times New Roman" w:cs="Times New Roman"/>
          <w:sz w:val="24"/>
          <w:szCs w:val="24"/>
        </w:rPr>
        <w:t>(3), 126–148. https://doi.org/10.19173/irrodl.v26i3.8507</w:t>
      </w:r>
    </w:p>
    <w:p w14:paraId="51E93258" w14:textId="3228C8E5"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Pacitti, H., Dracup, J., Lodge, J., &amp; Richmond, J. (2024). Embedded online self-regulated learning activities improve student experience and learning outcomes. </w:t>
      </w:r>
      <w:r w:rsidR="00A93354" w:rsidRPr="00B7239F">
        <w:rPr>
          <w:rFonts w:ascii="Times New Roman" w:hAnsi="Times New Roman" w:cs="Times New Roman"/>
          <w:i/>
          <w:iCs/>
          <w:sz w:val="24"/>
          <w:szCs w:val="24"/>
        </w:rPr>
        <w:t>Ascilite</w:t>
      </w:r>
      <w:r w:rsidRPr="00B7239F">
        <w:rPr>
          <w:rFonts w:ascii="Times New Roman" w:hAnsi="Times New Roman" w:cs="Times New Roman"/>
          <w:i/>
          <w:iCs/>
          <w:sz w:val="24"/>
          <w:szCs w:val="24"/>
        </w:rPr>
        <w:t xml:space="preserve"> Publications</w:t>
      </w:r>
      <w:r w:rsidRPr="00B7239F">
        <w:rPr>
          <w:rFonts w:ascii="Times New Roman" w:hAnsi="Times New Roman" w:cs="Times New Roman"/>
          <w:sz w:val="24"/>
          <w:szCs w:val="24"/>
        </w:rPr>
        <w:t>, 380–385. https://doi.org/10.14742/apubs.2024.1127</w:t>
      </w:r>
    </w:p>
    <w:p w14:paraId="7A3D359A"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Ponomariovienė, J., &amp; Jakavonytė-Staškuvienė, D. (2024). Solutions for Independent Goal Setting and Implementation of Primary School Students Fostering the Competence of Learning to Learn. </w:t>
      </w:r>
      <w:r w:rsidRPr="00B7239F">
        <w:rPr>
          <w:rFonts w:ascii="Times New Roman" w:hAnsi="Times New Roman" w:cs="Times New Roman"/>
          <w:i/>
          <w:iCs/>
          <w:sz w:val="24"/>
          <w:szCs w:val="24"/>
        </w:rPr>
        <w:t>Education Sciences</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14</w:t>
      </w:r>
      <w:r w:rsidRPr="00B7239F">
        <w:rPr>
          <w:rFonts w:ascii="Times New Roman" w:hAnsi="Times New Roman" w:cs="Times New Roman"/>
          <w:sz w:val="24"/>
          <w:szCs w:val="24"/>
        </w:rPr>
        <w:t>(4), 368. https://doi.org/10.3390/educsci14040368</w:t>
      </w:r>
    </w:p>
    <w:p w14:paraId="193E5AC5"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Rifqoh, F., Nur Wangid, M., Suwarjo, S., &amp; Azriya, Y. (2026). Analyzing the Impact of Self-Regulated Learning on Academic Performance and Student Engagement. </w:t>
      </w:r>
      <w:r w:rsidRPr="00B7239F">
        <w:rPr>
          <w:rFonts w:ascii="Times New Roman" w:hAnsi="Times New Roman" w:cs="Times New Roman"/>
          <w:i/>
          <w:iCs/>
          <w:sz w:val="24"/>
          <w:szCs w:val="24"/>
        </w:rPr>
        <w:t>Data and Metadata</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5</w:t>
      </w:r>
      <w:r w:rsidRPr="00B7239F">
        <w:rPr>
          <w:rFonts w:ascii="Times New Roman" w:hAnsi="Times New Roman" w:cs="Times New Roman"/>
          <w:sz w:val="24"/>
          <w:szCs w:val="24"/>
        </w:rPr>
        <w:t>, 1335. https://doi.org/10.56294/dm20261335</w:t>
      </w:r>
    </w:p>
    <w:p w14:paraId="082CFAEE"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Rimor, R., Reingold, R., &amp; Heiman, T. (2008). Instructor Scaffolding in Support of Students’ Metacognition Through an Online Course. In J. Zumbach, N. Schwartz, T. Seufert, &amp; L. Kester (Eds.), </w:t>
      </w:r>
      <w:r w:rsidRPr="00B7239F">
        <w:rPr>
          <w:rFonts w:ascii="Times New Roman" w:hAnsi="Times New Roman" w:cs="Times New Roman"/>
          <w:i/>
          <w:iCs/>
          <w:sz w:val="24"/>
          <w:szCs w:val="24"/>
        </w:rPr>
        <w:t>Beyond Knowledge: The Legacy of Competence</w:t>
      </w:r>
      <w:r w:rsidRPr="00B7239F">
        <w:rPr>
          <w:rFonts w:ascii="Times New Roman" w:hAnsi="Times New Roman" w:cs="Times New Roman"/>
          <w:sz w:val="24"/>
          <w:szCs w:val="24"/>
        </w:rPr>
        <w:t xml:space="preserve"> (pp. 43–53). Springer Netherlands. https://doi.org/10.1007/978-1-4020-8827-8_6</w:t>
      </w:r>
    </w:p>
    <w:p w14:paraId="40A33B40"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Rooney, S. I., King, C. E., Christian, L., Kavdia, M., Kays, J. C., &amp; Shady, S. F. (2025). Identifying and Overcoming Barriers to Classroom Engagement in Biomedical Engineering Education. </w:t>
      </w:r>
      <w:r w:rsidRPr="00B7239F">
        <w:rPr>
          <w:rFonts w:ascii="Times New Roman" w:hAnsi="Times New Roman" w:cs="Times New Roman"/>
          <w:i/>
          <w:iCs/>
          <w:sz w:val="24"/>
          <w:szCs w:val="24"/>
        </w:rPr>
        <w:t>Biomedical Engineering Education</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5</w:t>
      </w:r>
      <w:r w:rsidRPr="00B7239F">
        <w:rPr>
          <w:rFonts w:ascii="Times New Roman" w:hAnsi="Times New Roman" w:cs="Times New Roman"/>
          <w:sz w:val="24"/>
          <w:szCs w:val="24"/>
        </w:rPr>
        <w:t>(2), 107–120. https://doi.org/10.1007/s43683-025-00176-8</w:t>
      </w:r>
    </w:p>
    <w:p w14:paraId="5124E855"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Sanga, M. W. (2019). Doing Instructional Design for Distance Education. </w:t>
      </w:r>
      <w:r w:rsidRPr="00B7239F">
        <w:rPr>
          <w:rFonts w:ascii="Times New Roman" w:hAnsi="Times New Roman" w:cs="Times New Roman"/>
          <w:i/>
          <w:iCs/>
          <w:sz w:val="24"/>
          <w:szCs w:val="24"/>
        </w:rPr>
        <w:t>Quarterly Review of Distance Education</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20</w:t>
      </w:r>
      <w:r w:rsidRPr="00B7239F">
        <w:rPr>
          <w:rFonts w:ascii="Times New Roman" w:hAnsi="Times New Roman" w:cs="Times New Roman"/>
          <w:sz w:val="24"/>
          <w:szCs w:val="24"/>
        </w:rPr>
        <w:t>(1), 35–45. https://doi.org/10.1108/QRDE-08-2019-0004</w:t>
      </w:r>
    </w:p>
    <w:p w14:paraId="0FF1D5CE" w14:textId="1165ED61"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Santia, S., Andriyaningsih, A., &amp; Sutawan, K. (2025). A </w:t>
      </w:r>
      <w:r w:rsidR="00A93354" w:rsidRPr="00B7239F">
        <w:rPr>
          <w:rFonts w:ascii="Times New Roman" w:hAnsi="Times New Roman" w:cs="Times New Roman"/>
          <w:sz w:val="24"/>
          <w:szCs w:val="24"/>
        </w:rPr>
        <w:t xml:space="preserve">Quantitative Study On Ai-Supported Teaching And Self-Regulated Learning And Their Impact On Student Engagement In Higher Education. </w:t>
      </w:r>
      <w:r w:rsidR="00A93354" w:rsidRPr="00B7239F">
        <w:rPr>
          <w:rFonts w:ascii="Times New Roman" w:hAnsi="Times New Roman" w:cs="Times New Roman"/>
          <w:i/>
          <w:iCs/>
          <w:sz w:val="24"/>
          <w:szCs w:val="24"/>
        </w:rPr>
        <w:t>Teaching </w:t>
      </w:r>
      <w:r w:rsidRPr="00B7239F">
        <w:rPr>
          <w:rFonts w:ascii="Times New Roman" w:hAnsi="Times New Roman" w:cs="Times New Roman"/>
          <w:i/>
          <w:iCs/>
          <w:sz w:val="24"/>
          <w:szCs w:val="24"/>
        </w:rPr>
        <w:t>: Jurnal Inovasi Keguruan Dan Ilmu Pendidikan</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5</w:t>
      </w:r>
      <w:r w:rsidRPr="00B7239F">
        <w:rPr>
          <w:rFonts w:ascii="Times New Roman" w:hAnsi="Times New Roman" w:cs="Times New Roman"/>
          <w:sz w:val="24"/>
          <w:szCs w:val="24"/>
        </w:rPr>
        <w:t>(4), 925–938. https://doi.org/10.51878/teaching.v5i4.7955</w:t>
      </w:r>
    </w:p>
    <w:p w14:paraId="4BA3F9E8"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Sari, Y. E. (2026). Distance Education: Theory, Practice, and Evaluation. In E. Yünkül &amp; A. M. Güneş (Eds.), </w:t>
      </w:r>
      <w:r w:rsidRPr="00B7239F">
        <w:rPr>
          <w:rFonts w:ascii="Times New Roman" w:hAnsi="Times New Roman" w:cs="Times New Roman"/>
          <w:i/>
          <w:iCs/>
          <w:sz w:val="24"/>
          <w:szCs w:val="24"/>
        </w:rPr>
        <w:t>Global Competencies and Intercultural Learning</w:t>
      </w:r>
      <w:r w:rsidRPr="00B7239F">
        <w:rPr>
          <w:rFonts w:ascii="Times New Roman" w:hAnsi="Times New Roman" w:cs="Times New Roman"/>
          <w:sz w:val="24"/>
          <w:szCs w:val="24"/>
        </w:rPr>
        <w:t xml:space="preserve"> (pp. 285–310). IGI Global Scientific Publishing. https://doi.org/10.4018/979-8-3373-2622-1.ch011</w:t>
      </w:r>
    </w:p>
    <w:p w14:paraId="6CB70A5A"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Seidel, N., Karolyi, H., Burchart, M., &amp; De Witt, C. (2022). Approaching Adaptive Support for Self-regulated Learning. In D. Guralnick, M. E. Auer, &amp; A. Poce (Eds.), </w:t>
      </w:r>
      <w:r w:rsidRPr="00B7239F">
        <w:rPr>
          <w:rFonts w:ascii="Times New Roman" w:hAnsi="Times New Roman" w:cs="Times New Roman"/>
          <w:i/>
          <w:iCs/>
          <w:sz w:val="24"/>
          <w:szCs w:val="24"/>
        </w:rPr>
        <w:t>Innovations in Learning and Technology for the Workplace and Higher Education</w:t>
      </w:r>
      <w:r w:rsidRPr="00B7239F">
        <w:rPr>
          <w:rFonts w:ascii="Times New Roman" w:hAnsi="Times New Roman" w:cs="Times New Roman"/>
          <w:sz w:val="24"/>
          <w:szCs w:val="24"/>
        </w:rPr>
        <w:t xml:space="preserve"> (Vol. 349, pp. 409–424). Springer International Publishing. https://doi.org/10.1007/978-3-030-90677-1_39</w:t>
      </w:r>
    </w:p>
    <w:p w14:paraId="45150D11"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lastRenderedPageBreak/>
        <w:t xml:space="preserve">Song, D., &amp; Kim, D. (2021). Effects of self-regulation scaffolding on online participation and learning outcomes. </w:t>
      </w:r>
      <w:r w:rsidRPr="00B7239F">
        <w:rPr>
          <w:rFonts w:ascii="Times New Roman" w:hAnsi="Times New Roman" w:cs="Times New Roman"/>
          <w:i/>
          <w:iCs/>
          <w:sz w:val="24"/>
          <w:szCs w:val="24"/>
        </w:rPr>
        <w:t>Journal of Research on Technology in Education</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53</w:t>
      </w:r>
      <w:r w:rsidRPr="00B7239F">
        <w:rPr>
          <w:rFonts w:ascii="Times New Roman" w:hAnsi="Times New Roman" w:cs="Times New Roman"/>
          <w:sz w:val="24"/>
          <w:szCs w:val="24"/>
        </w:rPr>
        <w:t>(3), 249–263. https://doi.org/10.1080/15391523.2020.1767525</w:t>
      </w:r>
    </w:p>
    <w:p w14:paraId="53A30E15" w14:textId="392EF396"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Sutarni, N., Ramdhany, M. A., Hufad, A., &amp; Kurniawan, E. (2021). </w:t>
      </w:r>
      <w:r w:rsidR="00A93354" w:rsidRPr="00B7239F">
        <w:rPr>
          <w:rFonts w:ascii="Times New Roman" w:hAnsi="Times New Roman" w:cs="Times New Roman"/>
          <w:sz w:val="24"/>
          <w:szCs w:val="24"/>
        </w:rPr>
        <w:t>Self-Regulated Learning And Digital Learning Environment: Its’ Effect On Academic Achievement During The Pandemic</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Jurnal Cakrawala Pendidikan</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40</w:t>
      </w:r>
      <w:r w:rsidRPr="00B7239F">
        <w:rPr>
          <w:rFonts w:ascii="Times New Roman" w:hAnsi="Times New Roman" w:cs="Times New Roman"/>
          <w:sz w:val="24"/>
          <w:szCs w:val="24"/>
        </w:rPr>
        <w:t>(2), 374–388. https://doi.org/10.21831/cp.v40i2.40718</w:t>
      </w:r>
    </w:p>
    <w:p w14:paraId="31600B5B"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Wang, K., Zuo, M., Zhou, X., Wang, Y., Tang, P., &amp; Luo, H. (2025). Developing Time Management Competencies for First-Year College Students Through Experiential Learning: Design-Based Research. </w:t>
      </w:r>
      <w:r w:rsidRPr="00B7239F">
        <w:rPr>
          <w:rFonts w:ascii="Times New Roman" w:hAnsi="Times New Roman" w:cs="Times New Roman"/>
          <w:i/>
          <w:iCs/>
          <w:sz w:val="24"/>
          <w:szCs w:val="24"/>
        </w:rPr>
        <w:t>Behavioral Sciences</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16</w:t>
      </w:r>
      <w:r w:rsidRPr="00B7239F">
        <w:rPr>
          <w:rFonts w:ascii="Times New Roman" w:hAnsi="Times New Roman" w:cs="Times New Roman"/>
          <w:sz w:val="24"/>
          <w:szCs w:val="24"/>
        </w:rPr>
        <w:t>(1), 27. https://doi.org/10.3390/bs16010027</w:t>
      </w:r>
    </w:p>
    <w:p w14:paraId="4CA05FB9"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Wenzel, A., &amp; Moreno, J. (2022). Designing and Facilitating Optimal LMS Student Learning Experiences: Considering students’ needs for accessibility, navigability, personalization, and relevance in their online courses. </w:t>
      </w:r>
      <w:r w:rsidRPr="00B7239F">
        <w:rPr>
          <w:rFonts w:ascii="Times New Roman" w:hAnsi="Times New Roman" w:cs="Times New Roman"/>
          <w:i/>
          <w:iCs/>
          <w:sz w:val="24"/>
          <w:szCs w:val="24"/>
        </w:rPr>
        <w:t>The Northwest eLearning Journal</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2</w:t>
      </w:r>
      <w:r w:rsidRPr="00B7239F">
        <w:rPr>
          <w:rFonts w:ascii="Times New Roman" w:hAnsi="Times New Roman" w:cs="Times New Roman"/>
          <w:sz w:val="24"/>
          <w:szCs w:val="24"/>
        </w:rPr>
        <w:t>(1). https://doi.org/10.5399/osu/nwelearn.2.1.5642</w:t>
      </w:r>
    </w:p>
    <w:p w14:paraId="3F8528DA" w14:textId="77777777" w:rsidR="00B7239F" w:rsidRPr="00B7239F" w:rsidRDefault="00B7239F" w:rsidP="00B7239F">
      <w:pPr>
        <w:pStyle w:val="Bibliography"/>
        <w:spacing w:line="240" w:lineRule="auto"/>
        <w:jc w:val="both"/>
        <w:rPr>
          <w:rFonts w:ascii="Times New Roman" w:hAnsi="Times New Roman" w:cs="Times New Roman"/>
          <w:sz w:val="24"/>
          <w:szCs w:val="24"/>
        </w:rPr>
      </w:pPr>
      <w:r w:rsidRPr="00B7239F">
        <w:rPr>
          <w:rFonts w:ascii="Times New Roman" w:hAnsi="Times New Roman" w:cs="Times New Roman"/>
          <w:sz w:val="24"/>
          <w:szCs w:val="24"/>
        </w:rPr>
        <w:t xml:space="preserve">Wolters, C. A., Brady, A. C., &amp; Lee, H. J. (2025). Time Management and Achievement Motivation: A Review of What We Know and Directions for Where to Go. </w:t>
      </w:r>
      <w:r w:rsidRPr="00B7239F">
        <w:rPr>
          <w:rFonts w:ascii="Times New Roman" w:hAnsi="Times New Roman" w:cs="Times New Roman"/>
          <w:i/>
          <w:iCs/>
          <w:sz w:val="24"/>
          <w:szCs w:val="24"/>
        </w:rPr>
        <w:t>Educational Psychology Review</w:t>
      </w:r>
      <w:r w:rsidRPr="00B7239F">
        <w:rPr>
          <w:rFonts w:ascii="Times New Roman" w:hAnsi="Times New Roman" w:cs="Times New Roman"/>
          <w:sz w:val="24"/>
          <w:szCs w:val="24"/>
        </w:rPr>
        <w:t xml:space="preserve">, </w:t>
      </w:r>
      <w:r w:rsidRPr="00B7239F">
        <w:rPr>
          <w:rFonts w:ascii="Times New Roman" w:hAnsi="Times New Roman" w:cs="Times New Roman"/>
          <w:i/>
          <w:iCs/>
          <w:sz w:val="24"/>
          <w:szCs w:val="24"/>
        </w:rPr>
        <w:t>37</w:t>
      </w:r>
      <w:r w:rsidRPr="00B7239F">
        <w:rPr>
          <w:rFonts w:ascii="Times New Roman" w:hAnsi="Times New Roman" w:cs="Times New Roman"/>
          <w:sz w:val="24"/>
          <w:szCs w:val="24"/>
        </w:rPr>
        <w:t>(2), 58. https://doi.org/10.1007/s10648-025-10032-4</w:t>
      </w:r>
    </w:p>
    <w:p w14:paraId="232775D2" w14:textId="44978ADA" w:rsidR="000F55A8" w:rsidRPr="00320BD4" w:rsidRDefault="000F55A8" w:rsidP="00B7239F">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B7239F">
        <w:rPr>
          <w:rFonts w:ascii="Times New Roman" w:eastAsia="Times New Roman" w:hAnsi="Times New Roman" w:cs="Times New Roman"/>
          <w:b/>
          <w:bCs/>
          <w:kern w:val="0"/>
          <w:sz w:val="24"/>
          <w:szCs w:val="24"/>
          <w14:ligatures w14:val="none"/>
        </w:rPr>
        <w:fldChar w:fldCharType="end"/>
      </w:r>
    </w:p>
    <w:sectPr w:rsidR="000F55A8" w:rsidRPr="00320BD4" w:rsidSect="00FD64A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38D58" w14:textId="77777777" w:rsidR="00EB1197" w:rsidRDefault="00EB1197" w:rsidP="00FD64AE">
      <w:pPr>
        <w:spacing w:after="0" w:line="240" w:lineRule="auto"/>
      </w:pPr>
      <w:r>
        <w:separator/>
      </w:r>
    </w:p>
  </w:endnote>
  <w:endnote w:type="continuationSeparator" w:id="0">
    <w:p w14:paraId="442CA497" w14:textId="77777777" w:rsidR="00EB1197" w:rsidRDefault="00EB1197" w:rsidP="00FD6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venir">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1EBE2" w14:textId="646686FF" w:rsidR="001104BA" w:rsidRDefault="001104BA">
    <w:pPr>
      <w:pStyle w:val="Footer"/>
      <w:jc w:val="right"/>
    </w:pPr>
  </w:p>
  <w:tbl>
    <w:tblPr>
      <w:tblW w:w="9840" w:type="dxa"/>
      <w:tblBorders>
        <w:top w:val="single" w:sz="4" w:space="0" w:color="auto"/>
      </w:tblBorders>
      <w:tblLayout w:type="fixed"/>
      <w:tblLook w:val="0400" w:firstRow="0" w:lastRow="0" w:firstColumn="0" w:lastColumn="0" w:noHBand="0" w:noVBand="1"/>
    </w:tblPr>
    <w:tblGrid>
      <w:gridCol w:w="2610"/>
      <w:gridCol w:w="7230"/>
    </w:tblGrid>
    <w:tr w:rsidR="001104BA" w:rsidRPr="001104BA" w14:paraId="69818118" w14:textId="77777777" w:rsidTr="001104BA">
      <w:trPr>
        <w:trHeight w:val="287"/>
      </w:trPr>
      <w:tc>
        <w:tcPr>
          <w:tcW w:w="2610" w:type="dxa"/>
        </w:tcPr>
        <w:p w14:paraId="485138B4" w14:textId="77777777" w:rsidR="001104BA" w:rsidRPr="001104BA" w:rsidRDefault="001104BA" w:rsidP="001104BA">
          <w:pPr>
            <w:pBdr>
              <w:top w:val="nil"/>
              <w:left w:val="nil"/>
              <w:bottom w:val="nil"/>
              <w:right w:val="nil"/>
              <w:between w:val="nil"/>
            </w:pBdr>
            <w:tabs>
              <w:tab w:val="center" w:pos="4680"/>
              <w:tab w:val="right" w:pos="9360"/>
            </w:tabs>
            <w:rPr>
              <w:rFonts w:ascii="Times New Roman" w:hAnsi="Times New Roman" w:cs="Times New Roman"/>
              <w:color w:val="000000"/>
              <w:sz w:val="18"/>
              <w:szCs w:val="18"/>
            </w:rPr>
          </w:pPr>
        </w:p>
        <w:p w14:paraId="6EF92D40" w14:textId="77777777" w:rsidR="001104BA" w:rsidRPr="001104BA" w:rsidRDefault="001104BA" w:rsidP="001104BA">
          <w:pPr>
            <w:pBdr>
              <w:top w:val="nil"/>
              <w:left w:val="nil"/>
              <w:bottom w:val="nil"/>
              <w:right w:val="nil"/>
              <w:between w:val="nil"/>
            </w:pBdr>
            <w:tabs>
              <w:tab w:val="center" w:pos="4680"/>
              <w:tab w:val="right" w:pos="9360"/>
            </w:tabs>
            <w:rPr>
              <w:rFonts w:ascii="Times New Roman" w:hAnsi="Times New Roman" w:cs="Times New Roman"/>
              <w:color w:val="000000"/>
              <w:sz w:val="18"/>
              <w:szCs w:val="18"/>
            </w:rPr>
          </w:pPr>
          <w:r w:rsidRPr="001104BA">
            <w:rPr>
              <w:rFonts w:ascii="Times New Roman" w:hAnsi="Times New Roman" w:cs="Times New Roman"/>
              <w:color w:val="000000"/>
              <w:sz w:val="18"/>
              <w:szCs w:val="18"/>
            </w:rPr>
            <w:t>AHMED &amp; MEGAHATI S</w:t>
          </w:r>
        </w:p>
      </w:tc>
      <w:tc>
        <w:tcPr>
          <w:tcW w:w="7230" w:type="dxa"/>
          <w:vAlign w:val="center"/>
        </w:tcPr>
        <w:p w14:paraId="6849E49D" w14:textId="77777777" w:rsidR="001104BA" w:rsidRPr="001104BA" w:rsidRDefault="001104BA" w:rsidP="001104BA">
          <w:pPr>
            <w:pBdr>
              <w:top w:val="nil"/>
              <w:left w:val="nil"/>
              <w:bottom w:val="nil"/>
              <w:right w:val="nil"/>
              <w:between w:val="nil"/>
            </w:pBdr>
            <w:tabs>
              <w:tab w:val="center" w:pos="4680"/>
              <w:tab w:val="right" w:pos="9360"/>
            </w:tabs>
            <w:jc w:val="right"/>
            <w:rPr>
              <w:rFonts w:ascii="Times New Roman" w:hAnsi="Times New Roman" w:cs="Times New Roman"/>
              <w:color w:val="000000"/>
              <w:sz w:val="18"/>
              <w:szCs w:val="18"/>
            </w:rPr>
          </w:pPr>
        </w:p>
        <w:p w14:paraId="75D43851" w14:textId="77777777" w:rsidR="001104BA" w:rsidRPr="001104BA" w:rsidRDefault="001104BA" w:rsidP="001104BA">
          <w:pPr>
            <w:pBdr>
              <w:top w:val="nil"/>
              <w:left w:val="nil"/>
              <w:bottom w:val="nil"/>
              <w:right w:val="nil"/>
              <w:between w:val="nil"/>
            </w:pBdr>
            <w:tabs>
              <w:tab w:val="center" w:pos="4680"/>
              <w:tab w:val="right" w:pos="9360"/>
            </w:tabs>
            <w:jc w:val="center"/>
            <w:rPr>
              <w:rFonts w:ascii="Times New Roman" w:hAnsi="Times New Roman" w:cs="Times New Roman"/>
              <w:color w:val="000000"/>
              <w:sz w:val="18"/>
              <w:szCs w:val="18"/>
            </w:rPr>
          </w:pPr>
          <w:r w:rsidRPr="001104BA">
            <w:rPr>
              <w:rFonts w:ascii="Times New Roman" w:hAnsi="Times New Roman" w:cs="Times New Roman"/>
              <w:color w:val="000000"/>
              <w:sz w:val="18"/>
              <w:szCs w:val="18"/>
            </w:rPr>
            <w:t xml:space="preserve">    Journal of Digital Learning and Distance Education Vol. 5 Issue 4 (September 2026)</w:t>
          </w:r>
        </w:p>
      </w:tc>
    </w:tr>
  </w:tbl>
  <w:p w14:paraId="6A731F2E" w14:textId="77777777" w:rsidR="001104BA" w:rsidRDefault="001104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613221"/>
      <w:docPartObj>
        <w:docPartGallery w:val="Page Numbers (Bottom of Page)"/>
        <w:docPartUnique/>
      </w:docPartObj>
    </w:sdtPr>
    <w:sdtEndPr>
      <w:rPr>
        <w:noProof/>
      </w:rPr>
    </w:sdtEndPr>
    <w:sdtContent>
      <w:p w14:paraId="5B106962" w14:textId="77777777" w:rsidR="00D3328B" w:rsidRDefault="00D3328B">
        <w:pPr>
          <w:pStyle w:val="Footer"/>
          <w:jc w:val="right"/>
        </w:pPr>
        <w:r w:rsidRPr="00133BE8">
          <w:rPr>
            <w:rFonts w:ascii="Times New Roman" w:hAnsi="Times New Roman" w:cs="Times New Roman"/>
          </w:rPr>
          <w:fldChar w:fldCharType="begin"/>
        </w:r>
        <w:r w:rsidRPr="00133BE8">
          <w:rPr>
            <w:rFonts w:ascii="Times New Roman" w:hAnsi="Times New Roman" w:cs="Times New Roman"/>
          </w:rPr>
          <w:instrText xml:space="preserve"> PAGE   \* MERGEFORMAT </w:instrText>
        </w:r>
        <w:r w:rsidRPr="00133BE8">
          <w:rPr>
            <w:rFonts w:ascii="Times New Roman" w:hAnsi="Times New Roman" w:cs="Times New Roman"/>
          </w:rPr>
          <w:fldChar w:fldCharType="separate"/>
        </w:r>
        <w:r w:rsidRPr="00133BE8">
          <w:rPr>
            <w:rFonts w:ascii="Times New Roman" w:hAnsi="Times New Roman" w:cs="Times New Roman"/>
            <w:noProof/>
          </w:rPr>
          <w:t>2</w:t>
        </w:r>
        <w:r w:rsidRPr="00133BE8">
          <w:rPr>
            <w:rFonts w:ascii="Times New Roman" w:hAnsi="Times New Roman" w:cs="Times New Roman"/>
            <w:noProof/>
          </w:rPr>
          <w:fldChar w:fldCharType="end"/>
        </w:r>
      </w:p>
    </w:sdtContent>
  </w:sdt>
  <w:p w14:paraId="718A5B3D" w14:textId="77777777" w:rsidR="00D3328B" w:rsidRDefault="00D332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995791"/>
      <w:docPartObj>
        <w:docPartGallery w:val="Page Numbers (Bottom of Page)"/>
        <w:docPartUnique/>
      </w:docPartObj>
    </w:sdtPr>
    <w:sdtEndPr>
      <w:rPr>
        <w:noProof/>
      </w:rPr>
    </w:sdtEndPr>
    <w:sdtContent>
      <w:p w14:paraId="699C5354" w14:textId="77777777" w:rsidR="00D3328B" w:rsidRDefault="00D332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44E486" w14:textId="77777777" w:rsidR="00D3328B" w:rsidRDefault="00D332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6257711"/>
      <w:docPartObj>
        <w:docPartGallery w:val="Page Numbers (Bottom of Page)"/>
        <w:docPartUnique/>
      </w:docPartObj>
    </w:sdtPr>
    <w:sdtEndPr>
      <w:rPr>
        <w:noProof/>
      </w:rPr>
    </w:sdtEndPr>
    <w:sdtContent>
      <w:p w14:paraId="62F286B2" w14:textId="14DA59FC" w:rsidR="00D3328B" w:rsidRDefault="00D3328B">
        <w:pPr>
          <w:pStyle w:val="Footer"/>
          <w:jc w:val="right"/>
        </w:pPr>
        <w:r w:rsidRPr="00A93354">
          <w:rPr>
            <w:rFonts w:ascii="Times New Roman" w:hAnsi="Times New Roman" w:cs="Times New Roman"/>
          </w:rPr>
          <w:fldChar w:fldCharType="begin"/>
        </w:r>
        <w:r w:rsidRPr="00A93354">
          <w:rPr>
            <w:rFonts w:ascii="Times New Roman" w:hAnsi="Times New Roman" w:cs="Times New Roman"/>
          </w:rPr>
          <w:instrText xml:space="preserve"> PAGE   \* MERGEFORMAT </w:instrText>
        </w:r>
        <w:r w:rsidRPr="00A93354">
          <w:rPr>
            <w:rFonts w:ascii="Times New Roman" w:hAnsi="Times New Roman" w:cs="Times New Roman"/>
          </w:rPr>
          <w:fldChar w:fldCharType="separate"/>
        </w:r>
        <w:r w:rsidRPr="00A93354">
          <w:rPr>
            <w:rFonts w:ascii="Times New Roman" w:hAnsi="Times New Roman" w:cs="Times New Roman"/>
            <w:noProof/>
          </w:rPr>
          <w:t>2</w:t>
        </w:r>
        <w:r w:rsidRPr="00A93354">
          <w:rPr>
            <w:rFonts w:ascii="Times New Roman" w:hAnsi="Times New Roman" w:cs="Times New Roman"/>
            <w:noProof/>
          </w:rPr>
          <w:fldChar w:fldCharType="end"/>
        </w:r>
      </w:p>
    </w:sdtContent>
  </w:sdt>
  <w:p w14:paraId="6F2D101F" w14:textId="77777777" w:rsidR="00D3328B" w:rsidRDefault="00D332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B48B3" w14:textId="77777777" w:rsidR="00EB1197" w:rsidRDefault="00EB1197" w:rsidP="00FD64AE">
      <w:pPr>
        <w:spacing w:after="0" w:line="240" w:lineRule="auto"/>
      </w:pPr>
      <w:r>
        <w:separator/>
      </w:r>
    </w:p>
  </w:footnote>
  <w:footnote w:type="continuationSeparator" w:id="0">
    <w:p w14:paraId="63A01344" w14:textId="77777777" w:rsidR="00EB1197" w:rsidRDefault="00EB1197" w:rsidP="00FD64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2" w:type="dxa"/>
      <w:jc w:val="center"/>
      <w:tblBorders>
        <w:bottom w:val="single" w:sz="4" w:space="0" w:color="auto"/>
      </w:tblBorders>
      <w:tblLayout w:type="fixed"/>
      <w:tblLook w:val="0400" w:firstRow="0" w:lastRow="0" w:firstColumn="0" w:lastColumn="0" w:noHBand="0" w:noVBand="1"/>
    </w:tblPr>
    <w:tblGrid>
      <w:gridCol w:w="1838"/>
      <w:gridCol w:w="5665"/>
      <w:gridCol w:w="1559"/>
    </w:tblGrid>
    <w:tr w:rsidR="00D3328B" w:rsidRPr="00D3328B" w14:paraId="4FFE8A9C" w14:textId="77777777" w:rsidTr="00B53D1F">
      <w:trPr>
        <w:trHeight w:val="2259"/>
        <w:jc w:val="center"/>
      </w:trPr>
      <w:tc>
        <w:tcPr>
          <w:tcW w:w="1838" w:type="dxa"/>
        </w:tcPr>
        <w:p w14:paraId="1063DD6E" w14:textId="77777777" w:rsidR="00D3328B" w:rsidRPr="00D3328B" w:rsidRDefault="00D3328B" w:rsidP="00D3328B">
          <w:pPr>
            <w:jc w:val="center"/>
            <w:rPr>
              <w:rFonts w:ascii="Times New Roman" w:eastAsia="Book Antiqua" w:hAnsi="Times New Roman" w:cs="Times New Roman"/>
              <w:sz w:val="18"/>
              <w:szCs w:val="18"/>
            </w:rPr>
          </w:pPr>
          <w:bookmarkStart w:id="0" w:name="_Hlk215558929"/>
          <w:r w:rsidRPr="00D3328B">
            <w:rPr>
              <w:rFonts w:ascii="Times New Roman" w:hAnsi="Times New Roman" w:cs="Times New Roman"/>
              <w:noProof/>
            </w:rPr>
            <w:drawing>
              <wp:inline distT="0" distB="0" distL="0" distR="0" wp14:anchorId="73185C35" wp14:editId="08965FC8">
                <wp:extent cx="996146" cy="1409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7785" cy="1440323"/>
                        </a:xfrm>
                        <a:prstGeom prst="rect">
                          <a:avLst/>
                        </a:prstGeom>
                        <a:noFill/>
                        <a:ln>
                          <a:noFill/>
                        </a:ln>
                      </pic:spPr>
                    </pic:pic>
                  </a:graphicData>
                </a:graphic>
              </wp:inline>
            </w:drawing>
          </w:r>
        </w:p>
      </w:tc>
      <w:tc>
        <w:tcPr>
          <w:tcW w:w="5665" w:type="dxa"/>
        </w:tcPr>
        <w:p w14:paraId="623289F8" w14:textId="77777777" w:rsidR="00D3328B" w:rsidRPr="00D3328B" w:rsidRDefault="00D3328B" w:rsidP="00D3328B">
          <w:pPr>
            <w:jc w:val="center"/>
            <w:rPr>
              <w:rFonts w:ascii="Times New Roman" w:eastAsia="Book Antiqua" w:hAnsi="Times New Roman" w:cs="Times New Roman"/>
              <w:sz w:val="18"/>
              <w:szCs w:val="18"/>
            </w:rPr>
          </w:pPr>
        </w:p>
        <w:p w14:paraId="47E3D419" w14:textId="77777777" w:rsidR="00D3328B" w:rsidRPr="00D3328B" w:rsidRDefault="00D3328B" w:rsidP="00D3328B">
          <w:pPr>
            <w:spacing w:after="0" w:line="240" w:lineRule="auto"/>
            <w:ind w:left="-709" w:right="-312"/>
            <w:jc w:val="center"/>
            <w:rPr>
              <w:rFonts w:ascii="Times New Roman" w:hAnsi="Times New Roman" w:cs="Times New Roman"/>
              <w:b/>
              <w:bCs/>
            </w:rPr>
          </w:pPr>
          <w:r w:rsidRPr="00D3328B">
            <w:rPr>
              <w:rFonts w:ascii="Times New Roman" w:hAnsi="Times New Roman" w:cs="Times New Roman"/>
              <w:noProof/>
            </w:rPr>
            <w:drawing>
              <wp:anchor distT="0" distB="0" distL="114300" distR="114300" simplePos="0" relativeHeight="251659264" behindDoc="0" locked="0" layoutInCell="1" allowOverlap="1" wp14:anchorId="0BE53F52" wp14:editId="74BAE116">
                <wp:simplePos x="0" y="0"/>
                <wp:positionH relativeFrom="column">
                  <wp:posOffset>3524250</wp:posOffset>
                </wp:positionH>
                <wp:positionV relativeFrom="paragraph">
                  <wp:posOffset>83820</wp:posOffset>
                </wp:positionV>
                <wp:extent cx="1014095" cy="9550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4095" cy="955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328B">
            <w:rPr>
              <w:rFonts w:ascii="Times New Roman" w:hAnsi="Times New Roman" w:cs="Times New Roman"/>
              <w:b/>
              <w:bCs/>
            </w:rPr>
            <w:t xml:space="preserve">       JOURNAL OF DIGITAL LEARNING AND</w:t>
          </w:r>
        </w:p>
        <w:p w14:paraId="0A4C973B" w14:textId="77777777" w:rsidR="00D3328B" w:rsidRPr="00D3328B" w:rsidRDefault="00D3328B" w:rsidP="00D3328B">
          <w:pPr>
            <w:spacing w:after="0" w:line="240" w:lineRule="auto"/>
            <w:ind w:left="-709" w:right="-312"/>
            <w:jc w:val="center"/>
            <w:rPr>
              <w:rFonts w:ascii="Times New Roman" w:hAnsi="Times New Roman" w:cs="Times New Roman"/>
              <w:b/>
              <w:bCs/>
            </w:rPr>
          </w:pPr>
          <w:r w:rsidRPr="00D3328B">
            <w:rPr>
              <w:rFonts w:ascii="Times New Roman" w:hAnsi="Times New Roman" w:cs="Times New Roman"/>
              <w:b/>
              <w:bCs/>
            </w:rPr>
            <w:t xml:space="preserve">   DISTANCE EDUCATION (JDLDE)</w:t>
          </w:r>
        </w:p>
        <w:p w14:paraId="3752653C" w14:textId="77777777" w:rsidR="00D3328B" w:rsidRPr="00D3328B" w:rsidRDefault="00D3328B" w:rsidP="00D3328B">
          <w:pPr>
            <w:ind w:left="-709" w:right="-312"/>
            <w:jc w:val="center"/>
            <w:rPr>
              <w:rFonts w:ascii="Times New Roman" w:hAnsi="Times New Roman" w:cs="Times New Roman"/>
              <w:b/>
              <w:bCs/>
            </w:rPr>
          </w:pPr>
        </w:p>
        <w:p w14:paraId="6F028E7A" w14:textId="77777777" w:rsidR="00D3328B" w:rsidRPr="00D3328B" w:rsidRDefault="00D3328B" w:rsidP="00D3328B">
          <w:pPr>
            <w:ind w:left="-709" w:right="-312"/>
            <w:jc w:val="center"/>
            <w:rPr>
              <w:rFonts w:ascii="Times New Roman" w:hAnsi="Times New Roman" w:cs="Times New Roman"/>
            </w:rPr>
          </w:pPr>
          <w:r w:rsidRPr="00D3328B">
            <w:rPr>
              <w:rFonts w:ascii="Times New Roman" w:hAnsi="Times New Roman" w:cs="Times New Roman"/>
              <w:b/>
              <w:bCs/>
            </w:rPr>
            <w:t>ISSN: 2964-6685</w:t>
          </w:r>
        </w:p>
        <w:p w14:paraId="5020DCCC" w14:textId="77777777" w:rsidR="00D3328B" w:rsidRPr="00D3328B" w:rsidRDefault="00D3328B" w:rsidP="00D3328B">
          <w:pPr>
            <w:pStyle w:val="Header"/>
            <w:tabs>
              <w:tab w:val="left" w:pos="7566"/>
              <w:tab w:val="right" w:pos="9020"/>
            </w:tabs>
            <w:ind w:left="-426"/>
            <w:jc w:val="center"/>
            <w:rPr>
              <w:rFonts w:ascii="Times New Roman" w:hAnsi="Times New Roman" w:cs="Times New Roman"/>
              <w:sz w:val="20"/>
              <w:szCs w:val="20"/>
            </w:rPr>
          </w:pPr>
        </w:p>
        <w:p w14:paraId="17C36F54" w14:textId="77777777" w:rsidR="00D3328B" w:rsidRPr="00D3328B" w:rsidRDefault="00D3328B" w:rsidP="00D3328B">
          <w:pPr>
            <w:pStyle w:val="Header"/>
            <w:tabs>
              <w:tab w:val="left" w:pos="7566"/>
              <w:tab w:val="right" w:pos="9020"/>
            </w:tabs>
            <w:ind w:left="-390"/>
            <w:jc w:val="center"/>
            <w:rPr>
              <w:rFonts w:ascii="Times New Roman" w:hAnsi="Times New Roman" w:cs="Times New Roman"/>
              <w:sz w:val="20"/>
              <w:szCs w:val="20"/>
            </w:rPr>
          </w:pPr>
          <w:r w:rsidRPr="00D3328B">
            <w:rPr>
              <w:rFonts w:ascii="Times New Roman" w:hAnsi="Times New Roman" w:cs="Times New Roman"/>
              <w:sz w:val="20"/>
              <w:szCs w:val="20"/>
            </w:rPr>
            <w:t xml:space="preserve">       https://www.rjupublisher.com/ojs/index.php/JDLDE</w:t>
          </w:r>
        </w:p>
        <w:p w14:paraId="3F92AE9A" w14:textId="77777777" w:rsidR="00D3328B" w:rsidRPr="00D3328B" w:rsidRDefault="00D3328B" w:rsidP="00D3328B">
          <w:pPr>
            <w:jc w:val="center"/>
            <w:rPr>
              <w:rFonts w:ascii="Times New Roman" w:eastAsia="Book Antiqua" w:hAnsi="Times New Roman" w:cs="Times New Roman"/>
            </w:rPr>
          </w:pPr>
        </w:p>
      </w:tc>
      <w:tc>
        <w:tcPr>
          <w:tcW w:w="1559" w:type="dxa"/>
        </w:tcPr>
        <w:p w14:paraId="79410F8D" w14:textId="77777777" w:rsidR="00D3328B" w:rsidRPr="00D3328B" w:rsidRDefault="00D3328B" w:rsidP="00D3328B">
          <w:pPr>
            <w:pBdr>
              <w:top w:val="nil"/>
              <w:left w:val="nil"/>
              <w:bottom w:val="nil"/>
              <w:right w:val="nil"/>
              <w:between w:val="nil"/>
            </w:pBdr>
            <w:tabs>
              <w:tab w:val="center" w:pos="4320"/>
              <w:tab w:val="right" w:pos="8640"/>
              <w:tab w:val="left" w:pos="7566"/>
              <w:tab w:val="right" w:pos="9020"/>
            </w:tabs>
            <w:jc w:val="right"/>
            <w:rPr>
              <w:rFonts w:ascii="Times New Roman" w:eastAsia="Avenir" w:hAnsi="Times New Roman" w:cs="Times New Roman"/>
              <w:color w:val="000000"/>
            </w:rPr>
          </w:pPr>
        </w:p>
      </w:tc>
    </w:tr>
    <w:bookmarkEnd w:id="0"/>
  </w:tbl>
  <w:p w14:paraId="04392F57" w14:textId="77777777" w:rsidR="001104BA" w:rsidRDefault="001104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40" w:type="dxa"/>
      <w:tblBorders>
        <w:bottom w:val="single" w:sz="4" w:space="0" w:color="auto"/>
      </w:tblBorders>
      <w:tblLayout w:type="fixed"/>
      <w:tblLook w:val="0400" w:firstRow="0" w:lastRow="0" w:firstColumn="0" w:lastColumn="0" w:noHBand="0" w:noVBand="1"/>
    </w:tblPr>
    <w:tblGrid>
      <w:gridCol w:w="2610"/>
      <w:gridCol w:w="7230"/>
    </w:tblGrid>
    <w:tr w:rsidR="00D3328B" w:rsidRPr="001104BA" w14:paraId="742F4E96" w14:textId="77777777" w:rsidTr="00D3328B">
      <w:trPr>
        <w:trHeight w:val="287"/>
      </w:trPr>
      <w:tc>
        <w:tcPr>
          <w:tcW w:w="2610" w:type="dxa"/>
        </w:tcPr>
        <w:p w14:paraId="280EA04D" w14:textId="77777777" w:rsidR="00D3328B" w:rsidRPr="001104BA" w:rsidRDefault="00D3328B" w:rsidP="00D3328B">
          <w:pPr>
            <w:pBdr>
              <w:top w:val="nil"/>
              <w:left w:val="nil"/>
              <w:bottom w:val="nil"/>
              <w:right w:val="nil"/>
              <w:between w:val="nil"/>
            </w:pBdr>
            <w:tabs>
              <w:tab w:val="center" w:pos="4680"/>
              <w:tab w:val="right" w:pos="9360"/>
            </w:tabs>
            <w:rPr>
              <w:rFonts w:ascii="Times New Roman" w:hAnsi="Times New Roman" w:cs="Times New Roman"/>
              <w:color w:val="000000"/>
              <w:sz w:val="18"/>
              <w:szCs w:val="18"/>
            </w:rPr>
          </w:pPr>
        </w:p>
        <w:p w14:paraId="54286C22" w14:textId="77777777" w:rsidR="00D3328B" w:rsidRPr="001104BA" w:rsidRDefault="00D3328B" w:rsidP="00D3328B">
          <w:pPr>
            <w:pBdr>
              <w:top w:val="nil"/>
              <w:left w:val="nil"/>
              <w:bottom w:val="nil"/>
              <w:right w:val="nil"/>
              <w:between w:val="nil"/>
            </w:pBdr>
            <w:tabs>
              <w:tab w:val="center" w:pos="4680"/>
              <w:tab w:val="right" w:pos="9360"/>
            </w:tabs>
            <w:rPr>
              <w:rFonts w:ascii="Times New Roman" w:hAnsi="Times New Roman" w:cs="Times New Roman"/>
              <w:color w:val="000000"/>
              <w:sz w:val="18"/>
              <w:szCs w:val="18"/>
            </w:rPr>
          </w:pPr>
          <w:r w:rsidRPr="001104BA">
            <w:rPr>
              <w:rFonts w:ascii="Times New Roman" w:hAnsi="Times New Roman" w:cs="Times New Roman"/>
              <w:color w:val="000000"/>
              <w:sz w:val="18"/>
              <w:szCs w:val="18"/>
            </w:rPr>
            <w:t>AHMED &amp; MEGAHATI S</w:t>
          </w:r>
        </w:p>
      </w:tc>
      <w:tc>
        <w:tcPr>
          <w:tcW w:w="7230" w:type="dxa"/>
          <w:vAlign w:val="center"/>
        </w:tcPr>
        <w:p w14:paraId="2DC93D1A" w14:textId="77777777" w:rsidR="00D3328B" w:rsidRPr="001104BA" w:rsidRDefault="00D3328B" w:rsidP="00D3328B">
          <w:pPr>
            <w:pBdr>
              <w:top w:val="nil"/>
              <w:left w:val="nil"/>
              <w:bottom w:val="nil"/>
              <w:right w:val="nil"/>
              <w:between w:val="nil"/>
            </w:pBdr>
            <w:tabs>
              <w:tab w:val="center" w:pos="4680"/>
              <w:tab w:val="right" w:pos="9360"/>
            </w:tabs>
            <w:jc w:val="right"/>
            <w:rPr>
              <w:rFonts w:ascii="Times New Roman" w:hAnsi="Times New Roman" w:cs="Times New Roman"/>
              <w:color w:val="000000"/>
              <w:sz w:val="18"/>
              <w:szCs w:val="18"/>
            </w:rPr>
          </w:pPr>
        </w:p>
        <w:p w14:paraId="1C39E5BD" w14:textId="77777777" w:rsidR="00D3328B" w:rsidRPr="001104BA" w:rsidRDefault="00D3328B" w:rsidP="00D3328B">
          <w:pPr>
            <w:pBdr>
              <w:top w:val="nil"/>
              <w:left w:val="nil"/>
              <w:bottom w:val="nil"/>
              <w:right w:val="nil"/>
              <w:between w:val="nil"/>
            </w:pBdr>
            <w:tabs>
              <w:tab w:val="center" w:pos="4680"/>
              <w:tab w:val="right" w:pos="9360"/>
            </w:tabs>
            <w:jc w:val="center"/>
            <w:rPr>
              <w:rFonts w:ascii="Times New Roman" w:hAnsi="Times New Roman" w:cs="Times New Roman"/>
              <w:color w:val="000000"/>
              <w:sz w:val="18"/>
              <w:szCs w:val="18"/>
            </w:rPr>
          </w:pPr>
          <w:r w:rsidRPr="001104BA">
            <w:rPr>
              <w:rFonts w:ascii="Times New Roman" w:hAnsi="Times New Roman" w:cs="Times New Roman"/>
              <w:color w:val="000000"/>
              <w:sz w:val="18"/>
              <w:szCs w:val="18"/>
            </w:rPr>
            <w:t xml:space="preserve">    Journal of Digital Learning and Distance Education Vol. 5 Issue 4 (September 2026)</w:t>
          </w:r>
        </w:p>
      </w:tc>
    </w:tr>
  </w:tbl>
  <w:p w14:paraId="088B57CF" w14:textId="77777777" w:rsidR="00D3328B" w:rsidRDefault="00D332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40" w:type="dxa"/>
      <w:tblBorders>
        <w:bottom w:val="single" w:sz="4" w:space="0" w:color="auto"/>
      </w:tblBorders>
      <w:tblLayout w:type="fixed"/>
      <w:tblLook w:val="0400" w:firstRow="0" w:lastRow="0" w:firstColumn="0" w:lastColumn="0" w:noHBand="0" w:noVBand="1"/>
    </w:tblPr>
    <w:tblGrid>
      <w:gridCol w:w="2610"/>
      <w:gridCol w:w="7230"/>
    </w:tblGrid>
    <w:tr w:rsidR="00D3328B" w:rsidRPr="001104BA" w14:paraId="7493BB71" w14:textId="77777777" w:rsidTr="00B53D1F">
      <w:trPr>
        <w:trHeight w:val="287"/>
      </w:trPr>
      <w:tc>
        <w:tcPr>
          <w:tcW w:w="2610" w:type="dxa"/>
        </w:tcPr>
        <w:p w14:paraId="58878B90" w14:textId="77777777" w:rsidR="00D3328B" w:rsidRPr="001104BA" w:rsidRDefault="00D3328B" w:rsidP="00D3328B">
          <w:pPr>
            <w:pBdr>
              <w:top w:val="nil"/>
              <w:left w:val="nil"/>
              <w:bottom w:val="nil"/>
              <w:right w:val="nil"/>
              <w:between w:val="nil"/>
            </w:pBdr>
            <w:tabs>
              <w:tab w:val="center" w:pos="4680"/>
              <w:tab w:val="right" w:pos="9360"/>
            </w:tabs>
            <w:rPr>
              <w:rFonts w:ascii="Times New Roman" w:hAnsi="Times New Roman" w:cs="Times New Roman"/>
              <w:color w:val="000000"/>
              <w:sz w:val="18"/>
              <w:szCs w:val="18"/>
            </w:rPr>
          </w:pPr>
        </w:p>
        <w:p w14:paraId="6301EF66" w14:textId="77777777" w:rsidR="00D3328B" w:rsidRPr="001104BA" w:rsidRDefault="00D3328B" w:rsidP="00D3328B">
          <w:pPr>
            <w:pBdr>
              <w:top w:val="nil"/>
              <w:left w:val="nil"/>
              <w:bottom w:val="nil"/>
              <w:right w:val="nil"/>
              <w:between w:val="nil"/>
            </w:pBdr>
            <w:tabs>
              <w:tab w:val="center" w:pos="4680"/>
              <w:tab w:val="right" w:pos="9360"/>
            </w:tabs>
            <w:rPr>
              <w:rFonts w:ascii="Times New Roman" w:hAnsi="Times New Roman" w:cs="Times New Roman"/>
              <w:color w:val="000000"/>
              <w:sz w:val="18"/>
              <w:szCs w:val="18"/>
            </w:rPr>
          </w:pPr>
          <w:r w:rsidRPr="001104BA">
            <w:rPr>
              <w:rFonts w:ascii="Times New Roman" w:hAnsi="Times New Roman" w:cs="Times New Roman"/>
              <w:color w:val="000000"/>
              <w:sz w:val="18"/>
              <w:szCs w:val="18"/>
            </w:rPr>
            <w:t>AHMED &amp; MEGAHATI S</w:t>
          </w:r>
        </w:p>
      </w:tc>
      <w:tc>
        <w:tcPr>
          <w:tcW w:w="7230" w:type="dxa"/>
          <w:vAlign w:val="center"/>
        </w:tcPr>
        <w:p w14:paraId="5C49FEF5" w14:textId="77777777" w:rsidR="00D3328B" w:rsidRPr="001104BA" w:rsidRDefault="00D3328B" w:rsidP="00D3328B">
          <w:pPr>
            <w:pBdr>
              <w:top w:val="nil"/>
              <w:left w:val="nil"/>
              <w:bottom w:val="nil"/>
              <w:right w:val="nil"/>
              <w:between w:val="nil"/>
            </w:pBdr>
            <w:tabs>
              <w:tab w:val="center" w:pos="4680"/>
              <w:tab w:val="right" w:pos="9360"/>
            </w:tabs>
            <w:jc w:val="right"/>
            <w:rPr>
              <w:rFonts w:ascii="Times New Roman" w:hAnsi="Times New Roman" w:cs="Times New Roman"/>
              <w:color w:val="000000"/>
              <w:sz w:val="18"/>
              <w:szCs w:val="18"/>
            </w:rPr>
          </w:pPr>
        </w:p>
        <w:p w14:paraId="1DC6F438" w14:textId="77777777" w:rsidR="00D3328B" w:rsidRPr="001104BA" w:rsidRDefault="00D3328B" w:rsidP="00D3328B">
          <w:pPr>
            <w:pBdr>
              <w:top w:val="nil"/>
              <w:left w:val="nil"/>
              <w:bottom w:val="nil"/>
              <w:right w:val="nil"/>
              <w:between w:val="nil"/>
            </w:pBdr>
            <w:tabs>
              <w:tab w:val="center" w:pos="4680"/>
              <w:tab w:val="right" w:pos="9360"/>
            </w:tabs>
            <w:jc w:val="center"/>
            <w:rPr>
              <w:rFonts w:ascii="Times New Roman" w:hAnsi="Times New Roman" w:cs="Times New Roman"/>
              <w:color w:val="000000"/>
              <w:sz w:val="18"/>
              <w:szCs w:val="18"/>
            </w:rPr>
          </w:pPr>
          <w:r w:rsidRPr="001104BA">
            <w:rPr>
              <w:rFonts w:ascii="Times New Roman" w:hAnsi="Times New Roman" w:cs="Times New Roman"/>
              <w:color w:val="000000"/>
              <w:sz w:val="18"/>
              <w:szCs w:val="18"/>
            </w:rPr>
            <w:t xml:space="preserve">    Journal of Digital Learning and Distance Education Vol. 5 Issue 4 (September 2026)</w:t>
          </w:r>
        </w:p>
      </w:tc>
    </w:tr>
  </w:tbl>
  <w:p w14:paraId="2D162D0D" w14:textId="77777777" w:rsidR="00FD64AE" w:rsidRDefault="00FD64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A13F1"/>
    <w:multiLevelType w:val="multilevel"/>
    <w:tmpl w:val="5C046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9D51C9"/>
    <w:multiLevelType w:val="multilevel"/>
    <w:tmpl w:val="B64C2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A4665A"/>
    <w:multiLevelType w:val="multilevel"/>
    <w:tmpl w:val="D584E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EF0A85"/>
    <w:multiLevelType w:val="multilevel"/>
    <w:tmpl w:val="5E704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F6570A"/>
    <w:multiLevelType w:val="multilevel"/>
    <w:tmpl w:val="BD642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8F5329"/>
    <w:multiLevelType w:val="multilevel"/>
    <w:tmpl w:val="1874A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6985518">
    <w:abstractNumId w:val="3"/>
  </w:num>
  <w:num w:numId="2" w16cid:durableId="618222333">
    <w:abstractNumId w:val="5"/>
  </w:num>
  <w:num w:numId="3" w16cid:durableId="892959085">
    <w:abstractNumId w:val="4"/>
  </w:num>
  <w:num w:numId="4" w16cid:durableId="135221797">
    <w:abstractNumId w:val="2"/>
  </w:num>
  <w:num w:numId="5" w16cid:durableId="1403017336">
    <w:abstractNumId w:val="1"/>
  </w:num>
  <w:num w:numId="6" w16cid:durableId="358286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BD4"/>
    <w:rsid w:val="000939ED"/>
    <w:rsid w:val="000F55A8"/>
    <w:rsid w:val="0010293B"/>
    <w:rsid w:val="00103245"/>
    <w:rsid w:val="00105007"/>
    <w:rsid w:val="0010722E"/>
    <w:rsid w:val="001104BA"/>
    <w:rsid w:val="00111E26"/>
    <w:rsid w:val="00133BE8"/>
    <w:rsid w:val="00136546"/>
    <w:rsid w:val="00170EFC"/>
    <w:rsid w:val="00196677"/>
    <w:rsid w:val="001C40B9"/>
    <w:rsid w:val="001F5065"/>
    <w:rsid w:val="002462E6"/>
    <w:rsid w:val="002821F7"/>
    <w:rsid w:val="002E72C4"/>
    <w:rsid w:val="00320BD4"/>
    <w:rsid w:val="003228DA"/>
    <w:rsid w:val="003727A2"/>
    <w:rsid w:val="003F5265"/>
    <w:rsid w:val="004938AC"/>
    <w:rsid w:val="004E6BA5"/>
    <w:rsid w:val="00536D50"/>
    <w:rsid w:val="00555588"/>
    <w:rsid w:val="005820DD"/>
    <w:rsid w:val="005A03A6"/>
    <w:rsid w:val="005A0897"/>
    <w:rsid w:val="005D0A88"/>
    <w:rsid w:val="0064171B"/>
    <w:rsid w:val="006462EE"/>
    <w:rsid w:val="0066640A"/>
    <w:rsid w:val="006C37BE"/>
    <w:rsid w:val="006E0408"/>
    <w:rsid w:val="006E757E"/>
    <w:rsid w:val="006F4085"/>
    <w:rsid w:val="0072291F"/>
    <w:rsid w:val="0079781F"/>
    <w:rsid w:val="007D18C2"/>
    <w:rsid w:val="008423B2"/>
    <w:rsid w:val="00886156"/>
    <w:rsid w:val="008F1D39"/>
    <w:rsid w:val="00912554"/>
    <w:rsid w:val="00935365"/>
    <w:rsid w:val="00975DBC"/>
    <w:rsid w:val="009C3331"/>
    <w:rsid w:val="009D06A0"/>
    <w:rsid w:val="00A44E3B"/>
    <w:rsid w:val="00A72D27"/>
    <w:rsid w:val="00A93354"/>
    <w:rsid w:val="00AA3734"/>
    <w:rsid w:val="00AC3139"/>
    <w:rsid w:val="00AD7A00"/>
    <w:rsid w:val="00AF6AA7"/>
    <w:rsid w:val="00B51B03"/>
    <w:rsid w:val="00B6078D"/>
    <w:rsid w:val="00B7239F"/>
    <w:rsid w:val="00B91993"/>
    <w:rsid w:val="00BB0839"/>
    <w:rsid w:val="00BF4724"/>
    <w:rsid w:val="00C0474F"/>
    <w:rsid w:val="00C51CD7"/>
    <w:rsid w:val="00C604B1"/>
    <w:rsid w:val="00C77B33"/>
    <w:rsid w:val="00CB37CF"/>
    <w:rsid w:val="00CF5066"/>
    <w:rsid w:val="00D3328B"/>
    <w:rsid w:val="00D5317A"/>
    <w:rsid w:val="00D80EB0"/>
    <w:rsid w:val="00D81074"/>
    <w:rsid w:val="00D92130"/>
    <w:rsid w:val="00DB5495"/>
    <w:rsid w:val="00E02FC6"/>
    <w:rsid w:val="00E05F87"/>
    <w:rsid w:val="00E15788"/>
    <w:rsid w:val="00E34521"/>
    <w:rsid w:val="00E63040"/>
    <w:rsid w:val="00EB1197"/>
    <w:rsid w:val="00EE69E6"/>
    <w:rsid w:val="00F43A20"/>
    <w:rsid w:val="00F87898"/>
    <w:rsid w:val="00F92C1C"/>
    <w:rsid w:val="00FD3470"/>
    <w:rsid w:val="00FD64AE"/>
    <w:rsid w:val="00FE1173"/>
    <w:rsid w:val="00FF0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6F1B7"/>
  <w15:chartTrackingRefBased/>
  <w15:docId w15:val="{0BE2F290-0ACA-4BE0-A9BA-616C792BD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20BD4"/>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3">
    <w:name w:val="heading 3"/>
    <w:basedOn w:val="Normal"/>
    <w:link w:val="Heading3Char"/>
    <w:uiPriority w:val="9"/>
    <w:qFormat/>
    <w:rsid w:val="00320BD4"/>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BD4"/>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320BD4"/>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320BD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ath-inline">
    <w:name w:val="math-inline"/>
    <w:basedOn w:val="DefaultParagraphFont"/>
    <w:rsid w:val="00320BD4"/>
  </w:style>
  <w:style w:type="character" w:styleId="Strong">
    <w:name w:val="Strong"/>
    <w:basedOn w:val="DefaultParagraphFont"/>
    <w:uiPriority w:val="22"/>
    <w:qFormat/>
    <w:rsid w:val="00320BD4"/>
    <w:rPr>
      <w:b/>
      <w:bCs/>
    </w:rPr>
  </w:style>
  <w:style w:type="table" w:styleId="TableGrid">
    <w:name w:val="Table Grid"/>
    <w:basedOn w:val="TableNormal"/>
    <w:uiPriority w:val="39"/>
    <w:rsid w:val="00646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0F55A8"/>
    <w:pPr>
      <w:spacing w:after="0" w:line="480" w:lineRule="auto"/>
      <w:ind w:left="720" w:hanging="720"/>
    </w:pPr>
  </w:style>
  <w:style w:type="paragraph" w:styleId="Header">
    <w:name w:val="header"/>
    <w:basedOn w:val="Normal"/>
    <w:link w:val="HeaderChar"/>
    <w:uiPriority w:val="99"/>
    <w:unhideWhenUsed/>
    <w:rsid w:val="00FD64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4AE"/>
  </w:style>
  <w:style w:type="paragraph" w:styleId="Footer">
    <w:name w:val="footer"/>
    <w:basedOn w:val="Normal"/>
    <w:link w:val="FooterChar"/>
    <w:uiPriority w:val="99"/>
    <w:unhideWhenUsed/>
    <w:rsid w:val="00FD64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4AE"/>
  </w:style>
  <w:style w:type="paragraph" w:styleId="CommentText">
    <w:name w:val="annotation text"/>
    <w:basedOn w:val="Normal"/>
    <w:link w:val="CommentTextChar"/>
    <w:uiPriority w:val="99"/>
    <w:semiHidden/>
    <w:unhideWhenUsed/>
    <w:rsid w:val="00B7239F"/>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semiHidden/>
    <w:rsid w:val="00B7239F"/>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unhideWhenUsed/>
    <w:rsid w:val="001104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427527">
      <w:bodyDiv w:val="1"/>
      <w:marLeft w:val="0"/>
      <w:marRight w:val="0"/>
      <w:marTop w:val="0"/>
      <w:marBottom w:val="0"/>
      <w:divBdr>
        <w:top w:val="none" w:sz="0" w:space="0" w:color="auto"/>
        <w:left w:val="none" w:sz="0" w:space="0" w:color="auto"/>
        <w:bottom w:val="none" w:sz="0" w:space="0" w:color="auto"/>
        <w:right w:val="none" w:sz="0" w:space="0" w:color="auto"/>
      </w:divBdr>
    </w:div>
    <w:div w:id="239487736">
      <w:bodyDiv w:val="1"/>
      <w:marLeft w:val="0"/>
      <w:marRight w:val="0"/>
      <w:marTop w:val="0"/>
      <w:marBottom w:val="0"/>
      <w:divBdr>
        <w:top w:val="none" w:sz="0" w:space="0" w:color="auto"/>
        <w:left w:val="none" w:sz="0" w:space="0" w:color="auto"/>
        <w:bottom w:val="none" w:sz="0" w:space="0" w:color="auto"/>
        <w:right w:val="none" w:sz="0" w:space="0" w:color="auto"/>
      </w:divBdr>
    </w:div>
    <w:div w:id="1028683715">
      <w:bodyDiv w:val="1"/>
      <w:marLeft w:val="0"/>
      <w:marRight w:val="0"/>
      <w:marTop w:val="0"/>
      <w:marBottom w:val="0"/>
      <w:divBdr>
        <w:top w:val="none" w:sz="0" w:space="0" w:color="auto"/>
        <w:left w:val="none" w:sz="0" w:space="0" w:color="auto"/>
        <w:bottom w:val="none" w:sz="0" w:space="0" w:color="auto"/>
        <w:right w:val="none" w:sz="0" w:space="0" w:color="auto"/>
      </w:divBdr>
    </w:div>
    <w:div w:id="1117138192">
      <w:bodyDiv w:val="1"/>
      <w:marLeft w:val="0"/>
      <w:marRight w:val="0"/>
      <w:marTop w:val="0"/>
      <w:marBottom w:val="0"/>
      <w:divBdr>
        <w:top w:val="none" w:sz="0" w:space="0" w:color="auto"/>
        <w:left w:val="none" w:sz="0" w:space="0" w:color="auto"/>
        <w:bottom w:val="none" w:sz="0" w:space="0" w:color="auto"/>
        <w:right w:val="none" w:sz="0" w:space="0" w:color="auto"/>
      </w:divBdr>
    </w:div>
    <w:div w:id="1204633436">
      <w:bodyDiv w:val="1"/>
      <w:marLeft w:val="0"/>
      <w:marRight w:val="0"/>
      <w:marTop w:val="0"/>
      <w:marBottom w:val="0"/>
      <w:divBdr>
        <w:top w:val="none" w:sz="0" w:space="0" w:color="auto"/>
        <w:left w:val="none" w:sz="0" w:space="0" w:color="auto"/>
        <w:bottom w:val="none" w:sz="0" w:space="0" w:color="auto"/>
        <w:right w:val="none" w:sz="0" w:space="0" w:color="auto"/>
      </w:divBdr>
    </w:div>
    <w:div w:id="1377200680">
      <w:bodyDiv w:val="1"/>
      <w:marLeft w:val="0"/>
      <w:marRight w:val="0"/>
      <w:marTop w:val="0"/>
      <w:marBottom w:val="0"/>
      <w:divBdr>
        <w:top w:val="none" w:sz="0" w:space="0" w:color="auto"/>
        <w:left w:val="none" w:sz="0" w:space="0" w:color="auto"/>
        <w:bottom w:val="none" w:sz="0" w:space="0" w:color="auto"/>
        <w:right w:val="none" w:sz="0" w:space="0" w:color="auto"/>
      </w:divBdr>
    </w:div>
    <w:div w:id="1430850149">
      <w:bodyDiv w:val="1"/>
      <w:marLeft w:val="0"/>
      <w:marRight w:val="0"/>
      <w:marTop w:val="0"/>
      <w:marBottom w:val="0"/>
      <w:divBdr>
        <w:top w:val="none" w:sz="0" w:space="0" w:color="auto"/>
        <w:left w:val="none" w:sz="0" w:space="0" w:color="auto"/>
        <w:bottom w:val="none" w:sz="0" w:space="0" w:color="auto"/>
        <w:right w:val="none" w:sz="0" w:space="0" w:color="auto"/>
      </w:divBdr>
      <w:divsChild>
        <w:div w:id="2061322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1641509">
      <w:bodyDiv w:val="1"/>
      <w:marLeft w:val="0"/>
      <w:marRight w:val="0"/>
      <w:marTop w:val="0"/>
      <w:marBottom w:val="0"/>
      <w:divBdr>
        <w:top w:val="none" w:sz="0" w:space="0" w:color="auto"/>
        <w:left w:val="none" w:sz="0" w:space="0" w:color="auto"/>
        <w:bottom w:val="none" w:sz="0" w:space="0" w:color="auto"/>
        <w:right w:val="none" w:sz="0" w:space="0" w:color="auto"/>
      </w:divBdr>
    </w:div>
    <w:div w:id="1953170202">
      <w:bodyDiv w:val="1"/>
      <w:marLeft w:val="0"/>
      <w:marRight w:val="0"/>
      <w:marTop w:val="0"/>
      <w:marBottom w:val="0"/>
      <w:divBdr>
        <w:top w:val="none" w:sz="0" w:space="0" w:color="auto"/>
        <w:left w:val="none" w:sz="0" w:space="0" w:color="auto"/>
        <w:bottom w:val="none" w:sz="0" w:space="0" w:color="auto"/>
        <w:right w:val="none" w:sz="0" w:space="0" w:color="auto"/>
      </w:divBdr>
    </w:div>
    <w:div w:id="2036155144">
      <w:bodyDiv w:val="1"/>
      <w:marLeft w:val="0"/>
      <w:marRight w:val="0"/>
      <w:marTop w:val="0"/>
      <w:marBottom w:val="0"/>
      <w:divBdr>
        <w:top w:val="none" w:sz="0" w:space="0" w:color="auto"/>
        <w:left w:val="none" w:sz="0" w:space="0" w:color="auto"/>
        <w:bottom w:val="none" w:sz="0" w:space="0" w:color="auto"/>
        <w:right w:val="none" w:sz="0" w:space="0" w:color="auto"/>
      </w:divBdr>
    </w:div>
    <w:div w:id="208680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56778/jdlde.v5i4."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13</Pages>
  <Words>20255</Words>
  <Characters>115457</Characters>
  <Application>Microsoft Office Word</Application>
  <DocSecurity>0</DocSecurity>
  <Lines>962</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9</cp:revision>
  <dcterms:created xsi:type="dcterms:W3CDTF">2026-09-26T15:12:00Z</dcterms:created>
  <dcterms:modified xsi:type="dcterms:W3CDTF">2026-09-27T15:46:00Z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id="NaBsQCiw"/&gt;&lt;style id="http://www.zotero.org/styles/apa" locale="en-US" hasBibliography="1" bibliographyStyleHasBeenSet="1"/&gt;&lt;prefs&gt;&lt;pref name="fieldType" value="Field"/&gt;&lt;/prefs&gt;&lt;/data&gt;</vt:lpwstr>
  </property>
</Properties>
</file>